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B538" w14:textId="77777777" w:rsidR="00AE70EA" w:rsidRPr="00074286" w:rsidRDefault="00AE70EA" w:rsidP="00AE70EA">
      <w:pPr>
        <w:jc w:val="center"/>
        <w:rPr>
          <w:rFonts w:ascii="Arial" w:hAnsi="Arial" w:cs="Arial"/>
          <w:b/>
          <w:bCs/>
          <w:lang w:val="es-CO" w:eastAsia="es-CO"/>
        </w:rPr>
      </w:pPr>
      <w:r w:rsidRPr="00074286">
        <w:rPr>
          <w:rFonts w:ascii="Arial" w:hAnsi="Arial" w:cs="Arial"/>
          <w:b/>
          <w:bCs/>
          <w:lang w:val="es-CO" w:eastAsia="es-CO"/>
        </w:rPr>
        <w:t>Lineamientos archivísticos para la gestión de información producida en Microsoft 365 en la Contraloría de Bogotá</w:t>
      </w:r>
    </w:p>
    <w:p w14:paraId="36E6F6DE" w14:textId="77777777" w:rsidR="00AE70EA" w:rsidRPr="0080106C" w:rsidRDefault="00AE70EA" w:rsidP="00AE70EA">
      <w:pPr>
        <w:jc w:val="both"/>
        <w:rPr>
          <w:rFonts w:ascii="Arial" w:hAnsi="Arial" w:cs="Arial"/>
          <w:lang w:val="es-CO" w:eastAsia="es-CO"/>
        </w:rPr>
      </w:pPr>
    </w:p>
    <w:p w14:paraId="7A21B1E9" w14:textId="7A74BE85" w:rsidR="00AE70EA" w:rsidRDefault="0057222D" w:rsidP="00AE70EA">
      <w:pPr>
        <w:jc w:val="both"/>
        <w:rPr>
          <w:rFonts w:ascii="Arial" w:hAnsi="Arial" w:cs="Arial"/>
          <w:lang w:val="es-CO" w:eastAsia="es-CO"/>
        </w:rPr>
      </w:pPr>
      <w:r w:rsidRPr="0057222D">
        <w:rPr>
          <w:rFonts w:ascii="Arial" w:hAnsi="Arial" w:cs="Arial"/>
          <w:lang w:val="es-CO" w:eastAsia="es-CO"/>
        </w:rPr>
        <w:t>En desarrollo de la estrategia de transformación digital de la Contraloría de Bogotá, la plataforma Microsoft 365 se ha convertido en un entorno de apoyo para la producción, gestión e intercambio de información relacionada con las actividades misionales, administrativas y de soporte de la Entidad. Servicios como el correo electrónico institucional, Teams, Forms y las herramientas ofimáticas han permitido fortalecer el trabajo colaborativo y optimizar la interacción entre las dependencias. Dentro de este ecosistema, OneDrive y SharePoint funcionan como repositorios documentales transitorios destinados al almacenamiento temporal, construcción conjunta, revisión e intercambio de información durante las diferentes etapas de elaboración y trámite documental. Sin embargo, considerando que parte de la información allí gestionada puede constituirse como documento electrónico de archivo, resulta necesario definir lineamientos que permitan asegurar su adecuada organización, control, trazabilidad, preservación y articulación con los repositorios institucionales y el Sistema de Gestión de Documentos Electrónicos de Archivo (SGDEA), en concordancia con la normativa archivística vigente y las necesidades de control y gestión documental de la Entidad.</w:t>
      </w:r>
    </w:p>
    <w:p w14:paraId="6BBDE29C" w14:textId="77777777" w:rsidR="0057222D" w:rsidRPr="0080106C" w:rsidRDefault="0057222D" w:rsidP="00AE70EA">
      <w:pPr>
        <w:jc w:val="both"/>
        <w:rPr>
          <w:rFonts w:ascii="Arial" w:hAnsi="Arial" w:cs="Arial"/>
          <w:lang w:val="es-CO" w:eastAsia="es-CO"/>
        </w:rPr>
      </w:pPr>
    </w:p>
    <w:p w14:paraId="79B32902"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Desde la perspectiva de la gestión de documentos electrónicos, una proporción relevante de la información producida en estos entornos corresponde a Documentos Electrónicos de Archivo (DEA), en la medida en que constituyen evidencia de actuaciones administrativas, técnicas o propias del ejercicio del control fiscal. En este sentido, su tratamiento no puede circunscribirse a esquemas de almacenamiento o gestión operativa, sino que requiere una incorporación estructurada al Sistema de Gestión de Documentos Electrónicos de Archivo (SGDEA – CONTRADOC), una vez este entre en operación plena. Esta integración resulta necesaria para garantizar la administración del ciclo vital documental, la adecuada conformación de expedientes electrónicos y la aplicación de los instrumentos archivísticos vigentes, en particular las Tablas de Retención Documental (TRD).</w:t>
      </w:r>
    </w:p>
    <w:p w14:paraId="69392B2F" w14:textId="77777777" w:rsidR="00AE70EA" w:rsidRPr="0080106C" w:rsidRDefault="00AE70EA" w:rsidP="00AE70EA">
      <w:pPr>
        <w:jc w:val="both"/>
        <w:rPr>
          <w:rFonts w:ascii="Arial" w:hAnsi="Arial" w:cs="Arial"/>
          <w:lang w:val="es-CO" w:eastAsia="es-CO"/>
        </w:rPr>
      </w:pPr>
    </w:p>
    <w:p w14:paraId="513A94D9"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La Entidad, por su parte, dispone del repositorio institucional Datacontrabog, el cual ha sido concebido con una estructura de clasificación que distingue entre documentos de apoyo y documentos de archivo, en coherencia con la lógica orgánico-funcional establecida en la TRD. Sin embargo, en la práctica se ha identificado que una parte significativa de la información generada en Microsoft 365 permanece en entornos individuales o espacios colaborativos sin responder a dicha estructura, lo que dificulta su control institucional. Esta situación propicia escenarios de dispersión de la información, duplicidad documental, limitaciones en la recuperación oportuna y, de manera particular, riesgos en la conservación de evidencia digital con valor probatorio.</w:t>
      </w:r>
    </w:p>
    <w:p w14:paraId="4F6D1C74" w14:textId="77777777" w:rsidR="00AE70EA" w:rsidRPr="0080106C" w:rsidRDefault="00AE70EA" w:rsidP="00AE70EA">
      <w:pPr>
        <w:jc w:val="both"/>
        <w:rPr>
          <w:rFonts w:ascii="Arial" w:hAnsi="Arial" w:cs="Arial"/>
          <w:lang w:val="es-CO" w:eastAsia="es-CO"/>
        </w:rPr>
      </w:pPr>
    </w:p>
    <w:p w14:paraId="27E95CE4"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Este contexto cobra especial relevancia si se considera que la Contraloría de Bogotá, en ejercicio de su función constitucional de vigilancia y control fiscal, requiere garantizar que la información que soporta sus actuaciones conserve atributos de autenticidad, integridad, fiabilidad, disponibilidad y trazabilidad a lo largo del tiempo. Estos principios, establecidos en la Ley 594 de 2000, el Decreto 1080 de 2015 y desarrollados en el Acuerdo 001 de 2024 del Archivo General de la Nación, deben materializarse en prácticas concretas de gestión documental que trasciendan los entornos tecnológicos y se consoliden como parte de la gobernanza de la información institucional.</w:t>
      </w:r>
    </w:p>
    <w:p w14:paraId="3E9D6CFF" w14:textId="77777777" w:rsidR="00AE70EA" w:rsidRPr="0080106C" w:rsidRDefault="00AE70EA" w:rsidP="00AE70EA">
      <w:pPr>
        <w:jc w:val="both"/>
        <w:rPr>
          <w:rFonts w:ascii="Arial" w:hAnsi="Arial" w:cs="Arial"/>
          <w:lang w:val="es-CO" w:eastAsia="es-CO"/>
        </w:rPr>
      </w:pPr>
    </w:p>
    <w:p w14:paraId="386B4821" w14:textId="77777777" w:rsidR="00AE70EA" w:rsidRPr="0080106C" w:rsidRDefault="2CC1C879" w:rsidP="00AE70EA">
      <w:pPr>
        <w:jc w:val="both"/>
        <w:rPr>
          <w:rFonts w:ascii="Arial" w:hAnsi="Arial" w:cs="Arial"/>
          <w:lang w:val="es-CO" w:eastAsia="es-CO"/>
        </w:rPr>
      </w:pPr>
      <w:r w:rsidRPr="44FEC535">
        <w:rPr>
          <w:rFonts w:ascii="Arial" w:hAnsi="Arial" w:cs="Arial"/>
          <w:lang w:val="es-CO" w:eastAsia="es-CO"/>
        </w:rPr>
        <w:t xml:space="preserve">En consecuencia, la información producida en Microsoft 365 debe ser objeto de procesos sistemáticos </w:t>
      </w:r>
      <w:r w:rsidRPr="44FEC535">
        <w:rPr>
          <w:rFonts w:ascii="Arial" w:hAnsi="Arial" w:cs="Arial"/>
          <w:lang w:val="es-CO" w:eastAsia="es-CO"/>
        </w:rPr>
        <w:lastRenderedPageBreak/>
        <w:t>de identificación, evaluación y clasificación archivística, que permitan determinar su naturaleza como documento de archivo o documento de apoyo, su vinculación a expedientes electrónicos y la definición de su disposición final. Este ejercicio debe complementarse con la incorporación de metadatos que garanticen su contexto, autenticidad y trazabilidad, así como con la implementación de estrategias de preservación digital a largo plazo, alineadas con el modelo de referencia OAIS (ISO 14721), que permitan asegurar la sostenibilidad de la información en escenarios futuros de consulta, auditoría o requerimientos probatorios.</w:t>
      </w:r>
    </w:p>
    <w:p w14:paraId="06BAFD7F" w14:textId="77777777" w:rsidR="00AE70EA" w:rsidRPr="0080106C" w:rsidRDefault="00AE70EA" w:rsidP="00AE70EA">
      <w:pPr>
        <w:jc w:val="both"/>
        <w:rPr>
          <w:rFonts w:ascii="Arial" w:hAnsi="Arial" w:cs="Arial"/>
          <w:lang w:val="es-CO" w:eastAsia="es-CO"/>
        </w:rPr>
      </w:pPr>
    </w:p>
    <w:p w14:paraId="4E9BAD01"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La articulación efectiva entre Microsoft 365, Datacontrabog y el SGDEA – CONTRADOC no solo responde a una necesidad técnica, sino que constituye un componente estratégico para el fortalecimiento del control fiscal, en tanto permite consolidar expedientes electrónicos íntegros, confiables y accesibles, reduciendo riesgos jurídicos y garantizando la transparencia en la gestión pública.</w:t>
      </w:r>
    </w:p>
    <w:p w14:paraId="4548DE39" w14:textId="77777777" w:rsidR="00AE70EA" w:rsidRPr="0080106C" w:rsidRDefault="00AE70EA" w:rsidP="00AE70EA">
      <w:pPr>
        <w:jc w:val="both"/>
        <w:rPr>
          <w:rFonts w:ascii="Arial" w:hAnsi="Arial" w:cs="Arial"/>
          <w:b/>
          <w:bCs/>
          <w:lang w:val="es-CO" w:eastAsia="es-CO"/>
        </w:rPr>
      </w:pPr>
    </w:p>
    <w:p w14:paraId="178208E7" w14:textId="77777777" w:rsidR="00AE70EA" w:rsidRPr="00074286" w:rsidRDefault="00AE70EA" w:rsidP="00AE70EA">
      <w:pPr>
        <w:jc w:val="both"/>
        <w:rPr>
          <w:rFonts w:ascii="Arial" w:hAnsi="Arial" w:cs="Arial"/>
          <w:b/>
          <w:bCs/>
          <w:lang w:val="es-CO" w:eastAsia="es-CO"/>
        </w:rPr>
      </w:pPr>
      <w:r w:rsidRPr="00074286">
        <w:rPr>
          <w:rFonts w:ascii="Arial" w:hAnsi="Arial" w:cs="Arial"/>
          <w:b/>
          <w:bCs/>
          <w:lang w:val="es-CO" w:eastAsia="es-CO"/>
        </w:rPr>
        <w:t>Diagnóstico de la situación actual</w:t>
      </w:r>
    </w:p>
    <w:p w14:paraId="729C3160" w14:textId="77777777" w:rsidR="00AE70EA" w:rsidRPr="0080106C" w:rsidRDefault="00AE70EA" w:rsidP="00AE70EA">
      <w:pPr>
        <w:jc w:val="both"/>
        <w:rPr>
          <w:rFonts w:ascii="Arial" w:hAnsi="Arial" w:cs="Arial"/>
          <w:lang w:val="es-CO" w:eastAsia="es-CO"/>
        </w:rPr>
      </w:pPr>
    </w:p>
    <w:p w14:paraId="6D1F1733"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A partir del ejercicio de acompañamiento técnico adelantado con las diferentes dependencias de la Contraloría de Bogotá, se identifican situaciones recurrentes que evidencian brechas en la gestión integral de los Documentos Electrónicos de Archivo (DEA), particularmente en los entornos asociados a Microsoft 365. Estas situaciones no solo responden a dinámicas operativas propias del trabajo colaborativo, sino también a la ausencia de lineamientos archivísticos consolidados que orienten el tratamiento de la información digital conforme a la normatividad vigente y a los instrumentos archivísticos institucionales.</w:t>
      </w:r>
    </w:p>
    <w:p w14:paraId="5CC9EBF2" w14:textId="77777777" w:rsidR="00AE70EA" w:rsidRPr="0080106C" w:rsidRDefault="00AE70EA" w:rsidP="00AE70EA">
      <w:pPr>
        <w:jc w:val="both"/>
        <w:rPr>
          <w:rFonts w:ascii="Arial" w:hAnsi="Arial" w:cs="Arial"/>
          <w:lang w:val="es-CO" w:eastAsia="es-CO"/>
        </w:rPr>
      </w:pPr>
    </w:p>
    <w:p w14:paraId="496D9CD2"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En primer lugar, se observa una generación descentralizada de información en cuentas individuales, especialmente en OneDrive, donde los funcionarios almacenan documentos sin una estructura de clasificación estandarizada ni controles institucionales que regulen su organización, acceso, conservación o disposición final. Esta práctica limita la visibilidad institucional de la información, dificulta su recuperación oportuna y compromete la aplicación de criterios archivísticos basados en las Tablas de Retención Documental (TRD).</w:t>
      </w:r>
    </w:p>
    <w:p w14:paraId="0D261270" w14:textId="77777777" w:rsidR="00AE70EA" w:rsidRPr="0080106C" w:rsidRDefault="00AE70EA" w:rsidP="00AE70EA">
      <w:pPr>
        <w:jc w:val="both"/>
        <w:rPr>
          <w:rFonts w:ascii="Arial" w:hAnsi="Arial" w:cs="Arial"/>
          <w:lang w:val="es-CO" w:eastAsia="es-CO"/>
        </w:rPr>
      </w:pPr>
    </w:p>
    <w:p w14:paraId="089E069E"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De manera complementaria, el uso de herramientas colaborativas como Teams y SharePoint, si bien fortalece la gestión operativa y el trabajo en equipo, no se encuentra articulado con las estructuras de clasificación documental definidas por la Entidad. En múltiples casos, estos espacios se configuran sin correspondencia con las series y subseries documentales, lo que genera repositorios paralelos que no responden a la lógica orgánico-funcional de la TRD ni permiten una adecuada conformación de expedientes electrónicos.</w:t>
      </w:r>
    </w:p>
    <w:p w14:paraId="31708A28" w14:textId="77777777" w:rsidR="00AE70EA" w:rsidRPr="0080106C" w:rsidRDefault="00AE70EA" w:rsidP="00AE70EA">
      <w:pPr>
        <w:jc w:val="both"/>
        <w:rPr>
          <w:rFonts w:ascii="Arial" w:hAnsi="Arial" w:cs="Arial"/>
          <w:lang w:val="es-CO" w:eastAsia="es-CO"/>
        </w:rPr>
      </w:pPr>
    </w:p>
    <w:p w14:paraId="4570E132"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Adicionalmente, se evidencia acumulación progresiva de información digital sin la aplicación de procesos técnicos de valoración, depuración o transferencia documental. Esta situación incrementa el volumen de almacenamiento sin criterios de gestión, afecta la calidad de la información y dificulta la identificación de documentos con valor administrativo, fiscal, legal o histórico. La ausencia de estos procesos limita la implementación efectiva de estrategias de preservación digital a largo plazo, conforme a lo previsto en el modelo de referencia ISO 14721 (OAIS), particularmente en lo relacionado con la estructuración de paquetes de archivo (AIP) y la gestión de metadatos de preservación.</w:t>
      </w:r>
    </w:p>
    <w:p w14:paraId="167C0BA4" w14:textId="77777777" w:rsidR="00AE70EA" w:rsidRPr="0080106C" w:rsidRDefault="00AE70EA" w:rsidP="00AE70EA">
      <w:pPr>
        <w:jc w:val="both"/>
        <w:rPr>
          <w:rFonts w:ascii="Arial" w:hAnsi="Arial" w:cs="Arial"/>
          <w:lang w:val="es-CO" w:eastAsia="es-CO"/>
        </w:rPr>
      </w:pPr>
    </w:p>
    <w:p w14:paraId="2FD74934"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Otro aspecto crítico corresponde a los riesgos asociados a la desvinculación, rotación o cambios administrativos de los funcionarios. Se identifican debilidades en los procedimientos de entrega de información digital, caracterizados por transferencias incompletas, ausencia de criterios archivísticos en la selección de documentos y falta de mecanismos para garantizar la continuidad en la custodia, acceso y uso de la información. Esta situación compromete la integridad, disponibilidad y trazabilidad de los documentos, especialmente aquellos que soportan actuaciones misionales o procesos de control fiscal.</w:t>
      </w:r>
    </w:p>
    <w:p w14:paraId="71201353" w14:textId="77777777" w:rsidR="00AE70EA" w:rsidRPr="0080106C" w:rsidRDefault="00AE70EA" w:rsidP="00AE70EA">
      <w:pPr>
        <w:jc w:val="both"/>
        <w:rPr>
          <w:rFonts w:ascii="Arial" w:hAnsi="Arial" w:cs="Arial"/>
          <w:lang w:val="es-CO" w:eastAsia="es-CO"/>
        </w:rPr>
      </w:pPr>
    </w:p>
    <w:p w14:paraId="76924345"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Finalmente, se evidencia la ausencia de una integración sistemática entre los entornos de Microsoft 365, el repositorio institucional Datacontrabog y el Sistema de Gestión de Documentos Electrónicos de Archivo (SGDEA – CONTRADOC), cuya entrada en operación definitiva representa un punto crítico para la consolidación del modelo de gestión documental electrónica. La falta de interoperabilidad limita la incorporación oportuna de los DEA al SGDEA, impide su adecuada indexación mediante metadatos normalizados (conforme a ISO 23081) y restringe la posibilidad de gestionar el ciclo de vida documental de manera integral.</w:t>
      </w:r>
    </w:p>
    <w:p w14:paraId="642BB276" w14:textId="77777777" w:rsidR="00AE70EA" w:rsidRPr="0080106C" w:rsidRDefault="00AE70EA" w:rsidP="00AE70EA">
      <w:pPr>
        <w:jc w:val="both"/>
        <w:rPr>
          <w:rFonts w:ascii="Arial" w:hAnsi="Arial" w:cs="Arial"/>
          <w:lang w:val="es-CO" w:eastAsia="es-CO"/>
        </w:rPr>
      </w:pPr>
    </w:p>
    <w:p w14:paraId="7B6A5791"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En su conjunto, las situaciones descritas inciden de manera directa en la capacidad de la Contraloría de Bogotá para asegurar que la información digital producida y gestionada en el desarrollo de sus funciones conserve atributos esenciales de autenticidad, integridad, fiabilidad y disponibilidad, conforme a lo dispuesto en la Ley 594 de 2000, el Decreto 1080 de 2015 y el Acuerdo 001 de 2024 del Archivo General de la Nación. La ausencia de controles archivísticos homogéneos en entornos digitales fragmentados limita la consolidación de un acervo documental coherente, verificable y jurídicamente sostenible, lo cual resulta especialmente crítico en una entidad cuya misionalidad se fundamenta en la producción y análisis de evidencia.</w:t>
      </w:r>
    </w:p>
    <w:p w14:paraId="39AE5BCC" w14:textId="77777777" w:rsidR="00AE70EA" w:rsidRPr="0080106C" w:rsidRDefault="00AE70EA" w:rsidP="00AE70EA">
      <w:pPr>
        <w:jc w:val="both"/>
        <w:rPr>
          <w:rFonts w:ascii="Arial" w:hAnsi="Arial" w:cs="Arial"/>
          <w:lang w:val="es-CO" w:eastAsia="es-CO"/>
        </w:rPr>
      </w:pPr>
    </w:p>
    <w:p w14:paraId="71048057"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De igual forma, estas condiciones afectan la trazabilidad de los expedientes electrónicos, entendida como la capacidad de seguir de manera íntegra y verificable el curso de las actuaciones administrativas y misionales desde su origen hasta su disposición final. La dispersión de la información, la falta de integración entre plataformas y la inexistencia de criterios uniformes de clasificación e incorporación al SGDEA dificultan la reconstrucción de las actuaciones institucionales, así como la identificación de versiones oficiales de los documentos y la validación de las decisiones adoptadas.</w:t>
      </w:r>
    </w:p>
    <w:p w14:paraId="54BC84A3" w14:textId="77777777" w:rsidR="00AE70EA" w:rsidRPr="0080106C" w:rsidRDefault="00AE70EA" w:rsidP="00AE70EA">
      <w:pPr>
        <w:jc w:val="both"/>
        <w:rPr>
          <w:rFonts w:ascii="Arial" w:hAnsi="Arial" w:cs="Arial"/>
          <w:lang w:val="es-CO" w:eastAsia="es-CO"/>
        </w:rPr>
      </w:pPr>
    </w:p>
    <w:p w14:paraId="5F3944F1"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Este escenario adquiere mayor relevancia en el desarrollo de procesos de auditoría, actuaciones de responsabilidad fiscal, control disciplinario y demás procedimientos administrativos o misionales, donde la disponibilidad de evidencia digital confiable constituye un insumo esencial para sustentar hallazgos, emitir conceptos técnicos y soportar decisiones con efectos jurídicos. La debilidad en la gestión documental electrónica incrementa el riesgo de pérdida de información crítica, inconsistencias en los registros y cuestionamientos sobre la validez probatoria de los documentos, lo que puede derivar en afectaciones a la transparencia, la eficiencia institucional y la seguridad jurídica de las actuaciones de la Entidad.</w:t>
      </w:r>
    </w:p>
    <w:p w14:paraId="3316C8B0" w14:textId="77777777" w:rsidR="00AE70EA" w:rsidRPr="0080106C" w:rsidRDefault="00AE70EA" w:rsidP="00AE70EA">
      <w:pPr>
        <w:jc w:val="both"/>
        <w:rPr>
          <w:rFonts w:ascii="Arial" w:hAnsi="Arial" w:cs="Arial"/>
          <w:lang w:val="es-CO" w:eastAsia="es-CO"/>
        </w:rPr>
      </w:pPr>
    </w:p>
    <w:p w14:paraId="0C1DDA70"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 xml:space="preserve">En este sentido, fortalecer la articulación entre los entornos de producción de información digital, los repositorios institucionales y el Sistema de Gestión de Documentos Electrónicos de Archivo (SGDEA – CONTRADOC) no solo responde a una necesidad operativa, sino que constituye una condición </w:t>
      </w:r>
      <w:r w:rsidRPr="0080106C">
        <w:rPr>
          <w:rFonts w:ascii="Arial" w:hAnsi="Arial" w:cs="Arial"/>
          <w:lang w:val="es-CO" w:eastAsia="es-CO"/>
        </w:rPr>
        <w:lastRenderedPageBreak/>
        <w:t>estructural para garantizar la sostenibilidad probatoria de la información, la adecuada gestión del conocimiento institucional y el cumplimiento efectivo de la función constitucional de vigilancia y control fiscal.</w:t>
      </w:r>
    </w:p>
    <w:p w14:paraId="7051ADA3" w14:textId="77777777" w:rsidR="00AE70EA" w:rsidRPr="0080106C" w:rsidRDefault="00AE70EA" w:rsidP="00AE70EA">
      <w:pPr>
        <w:jc w:val="both"/>
        <w:rPr>
          <w:rFonts w:ascii="Arial" w:hAnsi="Arial" w:cs="Arial"/>
          <w:lang w:val="es-CO" w:eastAsia="es-CO"/>
        </w:rPr>
      </w:pPr>
    </w:p>
    <w:p w14:paraId="087F33D7" w14:textId="77777777" w:rsidR="00AE70EA" w:rsidRPr="00074286" w:rsidRDefault="00AE70EA" w:rsidP="00AE70EA">
      <w:pPr>
        <w:jc w:val="both"/>
        <w:rPr>
          <w:rFonts w:ascii="Arial" w:hAnsi="Arial" w:cs="Arial"/>
          <w:b/>
          <w:bCs/>
          <w:lang w:val="es-CO" w:eastAsia="es-CO"/>
        </w:rPr>
      </w:pPr>
      <w:r w:rsidRPr="00074286">
        <w:rPr>
          <w:rFonts w:ascii="Arial" w:hAnsi="Arial" w:cs="Arial"/>
          <w:b/>
          <w:bCs/>
          <w:lang w:val="es-CO" w:eastAsia="es-CO"/>
        </w:rPr>
        <w:t>Lineamientos técnicos y archivísticos propuestos</w:t>
      </w:r>
    </w:p>
    <w:p w14:paraId="12F468B2" w14:textId="77777777" w:rsidR="00AE70EA" w:rsidRPr="003C0CF5" w:rsidRDefault="00AE70EA" w:rsidP="00AE70EA">
      <w:pPr>
        <w:spacing w:before="100" w:beforeAutospacing="1" w:after="100" w:afterAutospacing="1"/>
        <w:jc w:val="both"/>
        <w:rPr>
          <w:rFonts w:ascii="Arial" w:hAnsi="Arial" w:cs="Arial"/>
          <w:lang w:val="es-CO" w:eastAsia="es-CO"/>
        </w:rPr>
      </w:pPr>
      <w:r w:rsidRPr="003C0CF5">
        <w:rPr>
          <w:rFonts w:ascii="Arial" w:hAnsi="Arial" w:cs="Arial"/>
          <w:lang w:val="es-CO" w:eastAsia="es-CO"/>
        </w:rPr>
        <w:t>En el marco del fortalecimiento de la gestión de los Documentos Electrónicos de Archivo (DEA) en la Contraloría de Bogotá, y considerando los riesgos identificados en los entornos de producción de información digital, se establece la necesidad de priorizar de manera inmediata aquellas cuentas de usuario de la plataforma Microsoft 365 que gestionan información asociada a procesos administrativos y misionales críticos. Esta priorización tiene como finalidad salvaguardar información estratégica que constituye evidencia del ejercicio del control fiscal, garantizando su adecuada clasificación, organización y conservación dentro de los repositorios institucionales.</w:t>
      </w:r>
    </w:p>
    <w:p w14:paraId="456120DF" w14:textId="77777777" w:rsidR="00AE70EA" w:rsidRPr="003C0CF5" w:rsidRDefault="00AE70EA" w:rsidP="00AE70EA">
      <w:pPr>
        <w:spacing w:before="100" w:beforeAutospacing="1" w:after="100" w:afterAutospacing="1"/>
        <w:jc w:val="both"/>
        <w:rPr>
          <w:rFonts w:ascii="Arial" w:hAnsi="Arial" w:cs="Arial"/>
          <w:lang w:val="es-CO" w:eastAsia="es-CO"/>
        </w:rPr>
      </w:pPr>
      <w:r w:rsidRPr="003C0CF5">
        <w:rPr>
          <w:rFonts w:ascii="Arial" w:hAnsi="Arial" w:cs="Arial"/>
          <w:lang w:val="es-CO" w:eastAsia="es-CO"/>
        </w:rPr>
        <w:t>En este sentido, la información identificada deberá ser evaluada archivísticamente y organizada en el repositorio Datacontrabog, conforme a la estructura de clasificación vigente, diferenciando entre documentos de apoyo y documentos de archivo, en coherencia con la lógica orgánico-funcional definida en las Tablas de Retención Documental (TRD). Esta actividad resulta fundamental para asegurar que la información digital no permanezca dispersa en entornos individuales o colaborativos sin control institucional, y para preparar su posterior migración al Sistema de Gestión de Documentos Electrónicos de Archivo (SGDEA – CONTRADOC), una vez entre en operación definitiva.</w:t>
      </w:r>
    </w:p>
    <w:p w14:paraId="3A36EB4C" w14:textId="77777777" w:rsidR="00AE70EA" w:rsidRPr="003C0CF5" w:rsidRDefault="00AE70EA" w:rsidP="00AE70EA">
      <w:pPr>
        <w:spacing w:before="100" w:beforeAutospacing="1" w:after="100" w:afterAutospacing="1"/>
        <w:jc w:val="both"/>
        <w:rPr>
          <w:rFonts w:ascii="Arial" w:hAnsi="Arial" w:cs="Arial"/>
          <w:lang w:val="es-CO" w:eastAsia="es-CO"/>
        </w:rPr>
      </w:pPr>
      <w:r w:rsidRPr="003C0CF5">
        <w:rPr>
          <w:rFonts w:ascii="Arial" w:hAnsi="Arial" w:cs="Arial"/>
          <w:lang w:val="es-CO" w:eastAsia="es-CO"/>
        </w:rPr>
        <w:t>Los entornos colaborativos como OneDrive, SharePoint y Teams deben ser entendidos como espacios de almacenamiento transitorio o de trabajo en curso, mas no como repositorios finales de archivo. En consecuencia, la información allí producida deberá ser organizada, depurada y transferida al Datacontrabog en el corto plazo, bajo los lineamientos definidos por la Entidad, garantizando su adecuada clasificación documental. A futuro, este flujo deberá orientarse directamente hacia el SGDEA – CONTRADOC, como repositorio único para la gestión integral del ciclo de vida de los documentos electrónicos.</w:t>
      </w:r>
    </w:p>
    <w:p w14:paraId="67ED85BE" w14:textId="77777777" w:rsidR="00AE70EA" w:rsidRPr="003C0CF5" w:rsidRDefault="00AE70EA" w:rsidP="00AE70EA">
      <w:pPr>
        <w:spacing w:before="100" w:beforeAutospacing="1" w:after="100" w:afterAutospacing="1"/>
        <w:jc w:val="both"/>
        <w:rPr>
          <w:rFonts w:ascii="Arial" w:hAnsi="Arial" w:cs="Arial"/>
          <w:lang w:val="es-CO" w:eastAsia="es-CO"/>
        </w:rPr>
      </w:pPr>
      <w:r w:rsidRPr="003C0CF5">
        <w:rPr>
          <w:rFonts w:ascii="Arial" w:hAnsi="Arial" w:cs="Arial"/>
          <w:lang w:val="es-CO" w:eastAsia="es-CO"/>
        </w:rPr>
        <w:t>La aplicación de estos lineamientos deberá apoyarse en los criterios de clasificación y organización que actualmente vienen siendo implementados por cada dependencia en el Datacontrabog, los cuales constituyen el referente institucional para la gestión de la información tanto de apoyo como de archivo. Su adopción homogénea permitirá consolidar prácticas archivísticas coherentes y alineadas con los instrumentos de gestión documental.</w:t>
      </w:r>
    </w:p>
    <w:p w14:paraId="1E30C0A3"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En el marco de la evolución digital de la Contraloría de Bogotá y del fortalecimiento de la Gestión de Documentos Electrónicos de Archivo (DEA), se establecen los presentes lineamientos como instrumento técnico orientador para la administración integral de la información institucional. Su aplicación se fundamenta en lo dispuesto en la Ley 594 de 2000, el Decreto 1080 de 2015, el Acuerdo 001 de 2024 del Archivo General de la Nación, así como en los lineamientos de la Dirección Distrital de Archivo de Bogotá, integrando principios archivísticos con las dinámicas tecnológicas actuales.</w:t>
      </w:r>
    </w:p>
    <w:p w14:paraId="4F5AF54C"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 xml:space="preserve">Estos lineamientos buscan no solo organizar la información, sino consolidar un modelo de gestión documental que garantice la sostenibilidad de la evidencia digital en el tiempo, en función de la misión </w:t>
      </w:r>
      <w:r w:rsidRPr="0080106C">
        <w:rPr>
          <w:rFonts w:ascii="Arial" w:hAnsi="Arial" w:cs="Arial"/>
          <w:sz w:val="22"/>
          <w:szCs w:val="22"/>
        </w:rPr>
        <w:lastRenderedPageBreak/>
        <w:t>constitucional de vigilancia y control fiscal. En este sentido, la gestión documental se posiciona como un componente estratégico que soporta la transparencia, la trazabilidad de las actuaciones institucionales y la mitigación de riesgos jurídicos y probatorios.</w:t>
      </w:r>
    </w:p>
    <w:p w14:paraId="6F813468"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Clasificación y organización archivística de la información</w:t>
      </w:r>
    </w:p>
    <w:p w14:paraId="2AFAF739" w14:textId="77777777" w:rsidR="00737E25" w:rsidRDefault="00737E25" w:rsidP="00AE70EA">
      <w:pPr>
        <w:pStyle w:val="NormalWeb"/>
        <w:spacing w:line="240" w:lineRule="auto"/>
        <w:jc w:val="both"/>
        <w:rPr>
          <w:rFonts w:ascii="Arial" w:hAnsi="Arial" w:cs="Arial"/>
          <w:sz w:val="22"/>
          <w:szCs w:val="22"/>
        </w:rPr>
      </w:pPr>
      <w:r w:rsidRPr="00737E25">
        <w:rPr>
          <w:rFonts w:ascii="Arial" w:hAnsi="Arial" w:cs="Arial"/>
          <w:sz w:val="22"/>
          <w:szCs w:val="22"/>
        </w:rPr>
        <w:t>Toda información generada en el desarrollo de las funciones institucionales deberá gestionarse conforme a los criterios definidos en las Tablas de Retención Documental (TRD), identificando su naturaleza y determinando si corresponde a documentos de archivo o documentos de apoyo. En este contexto, es importante precisar que herramientas como OneDrive y SharePoint cumplen una función de almacenamiento transitorio y trabajo colaborativo, orientada a la construcción, edición, revisión e intercambio de información en curso, por lo cual no deben ser considerados repositorios definitivos de archivo. En consecuencia, los documentos que adquieran valor archivístico, administrativo, fiscal, legal o probatorio deberán ser organizados e incorporados en los repositorios institucionales oficiales, particularmente en Datacontrabog como repositorio documental institucional y, posteriormente, en el Sistema de Gestión de Documentos Electrónicos de Archivo (SGDEA – CONTRADOC), garantizando así su adecuada clasificación, trazabilidad, preservación y administración durante todo su ciclo de vida documental.</w:t>
      </w:r>
    </w:p>
    <w:p w14:paraId="6B5B0ED1" w14:textId="281AE61F"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La clasificación debe integrarse como una práctica operativa permanente, no como una actividad posterior o residual. En este contexto, se deberá intervenir de manera prioritaria la información gestionada en cuentas de usuario que administran procesos críticos, garantizando su adecuada organización e incorporación en los repositorios institucionales, con especial énfasis en aquella información que soporta actuaciones de auditoría, control fiscal y toma de decisiones.</w:t>
      </w:r>
    </w:p>
    <w:p w14:paraId="1F5450AE"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Incorporación y gestión en repositorios institucionales</w:t>
      </w:r>
    </w:p>
    <w:p w14:paraId="00A7D44B"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Los documentos electrónicos que adquieren la categoría de documentos de archivo deberán ser organizados e incorporados en el repositorio institucional Datacontrabog, respetando la estructura orgánico-funcional definida en las TRD. Este proceso no solo garantiza su almacenamiento, sino su contextualización dentro de expedientes electrónicos, asegurando su trazabilidad y relación con las funciones que los originan.</w:t>
      </w:r>
    </w:p>
    <w:p w14:paraId="4187F3BF"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Datacontrabog se configura como un repositorio intermedio para documentos de archivo que permite estructurar la información antes de su integración definitiva al SGDEA – CONTRADOC, el cual deberá consolidarse como el sistema central para la gestión integral del ciclo de vida documental, incluyendo su conservación, acceso y disposición final.</w:t>
      </w:r>
    </w:p>
    <w:p w14:paraId="179ED090"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En cuanto a los documentos de apoyo, su gestión deberá responder a criterios de racionalización administrativa, evitando la sobreacumulación de información y facilitando su depuración periódica conforme a las necesidades de cada dependencia.</w:t>
      </w:r>
    </w:p>
    <w:p w14:paraId="42B3F203"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lastRenderedPageBreak/>
        <w:t>Uso de entornos colaborativos y control de la información</w:t>
      </w:r>
    </w:p>
    <w:p w14:paraId="0C5844CB"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Las herramientas tecnológicas como OneDrive, SharePoint y Teams deberán ser utilizadas como entornos de trabajo en curso, orientados a la construcción colaborativa de documentos y al desarrollo de actividades operativas. No obstante, estos espacios no deben constituirse como repositorios definitivos de archivo, dado que carecen de controles archivísticos completos sobre el ciclo de vida documental.</w:t>
      </w:r>
    </w:p>
    <w:p w14:paraId="034FE824" w14:textId="539A3F10" w:rsidR="009A7A03" w:rsidRPr="0080106C" w:rsidRDefault="009A7A03" w:rsidP="00AE70EA">
      <w:pPr>
        <w:pStyle w:val="NormalWeb"/>
        <w:spacing w:line="240" w:lineRule="auto"/>
        <w:jc w:val="both"/>
        <w:rPr>
          <w:rFonts w:ascii="Arial" w:hAnsi="Arial" w:cs="Arial"/>
          <w:sz w:val="22"/>
          <w:szCs w:val="22"/>
        </w:rPr>
      </w:pPr>
      <w:r w:rsidRPr="009A7A03">
        <w:rPr>
          <w:rFonts w:ascii="Arial" w:hAnsi="Arial" w:cs="Arial"/>
          <w:sz w:val="22"/>
          <w:szCs w:val="22"/>
        </w:rPr>
        <w:t>En consecuencia, la información generada en estos entornos deberá ser revisada y organizada de manera oportuna conforme a las Tablas de Retención Documental (TRD), garantizando su incorporación en los repositorios institucionales definidos por la Entidad. Este proceso permite evitar la dispersión de la información, reducir riesgos de pérdida documental y asegurar la existencia de versiones oficiales verificables y trazables. Así mismo, estas actividades deberán realizarse de manera previa a cualquier proceso de retiro, traslado o cambio de cargo del funcionario responsable, con el fin de garantizar la continuidad administrativa y la adecuada custodia de la información institucional.</w:t>
      </w:r>
    </w:p>
    <w:p w14:paraId="7A19E983"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Gestión integral de la información en todos los soportes</w:t>
      </w:r>
    </w:p>
    <w:p w14:paraId="4F2033C3"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La gestión documental en la Contraloría de Bogotá debe abordarse de manera integral, abarcando tanto documentos electrónicos como documentos en soporte físico. Ambos deben ser gestionados bajo criterios homogéneos, garantizando coherencia en su clasificación, organización y acceso.</w:t>
      </w:r>
    </w:p>
    <w:p w14:paraId="216E8C58"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Este enfoque permite consolidar expedientes híbridos cuando sea necesario, asegurar la continuidad de la información y fortalecer la memoria institucional, evitando fragmentaciones entre lo digital y lo físico.</w:t>
      </w:r>
    </w:p>
    <w:p w14:paraId="290AD0E8" w14:textId="77777777" w:rsidR="00AE70EA" w:rsidRPr="0080106C" w:rsidRDefault="2CC1C879" w:rsidP="00AE70EA">
      <w:pPr>
        <w:pStyle w:val="Ttulo3"/>
        <w:spacing w:line="240" w:lineRule="auto"/>
        <w:jc w:val="both"/>
        <w:rPr>
          <w:rFonts w:ascii="Arial" w:hAnsi="Arial" w:cs="Arial"/>
          <w:sz w:val="22"/>
          <w:szCs w:val="22"/>
        </w:rPr>
      </w:pPr>
      <w:r w:rsidRPr="44FEC535">
        <w:rPr>
          <w:rFonts w:ascii="Arial" w:hAnsi="Arial" w:cs="Arial"/>
          <w:sz w:val="22"/>
          <w:szCs w:val="22"/>
        </w:rPr>
        <w:t>Entrega, transferencia y cierre de la información</w:t>
      </w:r>
    </w:p>
    <w:p w14:paraId="7A427664" w14:textId="77777777" w:rsidR="00630DAD" w:rsidRDefault="00630DAD" w:rsidP="00AE70EA">
      <w:pPr>
        <w:jc w:val="both"/>
        <w:rPr>
          <w:rFonts w:ascii="Arial" w:hAnsi="Arial" w:cs="Arial"/>
        </w:rPr>
      </w:pPr>
    </w:p>
    <w:p w14:paraId="6CC067E7" w14:textId="737CDE44" w:rsidR="00AE70EA" w:rsidRDefault="0002462E" w:rsidP="00AE70EA">
      <w:pPr>
        <w:jc w:val="both"/>
        <w:rPr>
          <w:rFonts w:ascii="Arial" w:hAnsi="Arial" w:cs="Arial"/>
        </w:rPr>
      </w:pPr>
      <w:r w:rsidRPr="0002462E">
        <w:rPr>
          <w:rFonts w:ascii="Arial" w:hAnsi="Arial" w:cs="Arial"/>
        </w:rPr>
        <w:t xml:space="preserve">Con el propósito de garantizar la continuidad de la gestión institucional, la protección de la información y la disponibilidad de evidencia documental en la Contraloría de Bogotá, se establecen lineamientos de obligatorio cumplimiento para la entrega, transferencia y cierre de la información en escenarios de retiro, traslado o cambio de funciones de los servidores públicos. Estos lineamientos se articulan con el Programa de Gestión Documental (PGD), las Tablas de Retención Documental (TRD), el Sistema Integrado de Conservación (SIC) y la implementación del SGDEA – CONTRADOC, asegurando coherencia entre los componentes archivísticos y tecnológicos. En este contexto, resulta necesario diferenciar los documentos de apoyo o facilitativos de los Documentos Electrónicos de Archivo (DEA). Los documentos de apoyo corresponden a información de carácter operativo, temporal o de consulta, utilizada como insumo para el desarrollo de actividades y que no constituye evidencia formal de actuaciones institucionales, razón por la cual pueden permanecer en entornos colaborativos y transitorios como OneDrive, SharePoint o Teams durante su etapa de elaboración y uso operativo. Por su parte, los documentos de archivo son aquellos que evidencian decisiones, actuaciones, procesos o actividades propias de la función institucional y que poseen valor administrativo, legal, fiscal, técnico o histórico, por lo que deben organizarse conforme a las TRD e incorporarse en los repositorios institucionales autorizados, particularmente en Datacontrabog y posteriormente en el SGDEA – CONTRADOC, garantizando su autenticidad, integridad, trazabilidad, preservación y disponibilidad </w:t>
      </w:r>
      <w:r w:rsidRPr="0002462E">
        <w:rPr>
          <w:rFonts w:ascii="Arial" w:hAnsi="Arial" w:cs="Arial"/>
        </w:rPr>
        <w:lastRenderedPageBreak/>
        <w:t>como soporte de la función de vigilancia y control fiscal de la Entidad.</w:t>
      </w:r>
    </w:p>
    <w:p w14:paraId="01681D15" w14:textId="77777777" w:rsidR="0002462E" w:rsidRPr="0080106C" w:rsidRDefault="0002462E" w:rsidP="00AE70EA">
      <w:pPr>
        <w:jc w:val="both"/>
        <w:rPr>
          <w:rFonts w:ascii="Arial" w:hAnsi="Arial" w:cs="Arial"/>
        </w:rPr>
      </w:pPr>
    </w:p>
    <w:p w14:paraId="2C5F0813" w14:textId="77777777" w:rsidR="00AE70EA" w:rsidRPr="0080106C" w:rsidRDefault="00AE70EA" w:rsidP="00AE70EA">
      <w:pPr>
        <w:jc w:val="both"/>
        <w:rPr>
          <w:rFonts w:ascii="Arial" w:hAnsi="Arial" w:cs="Arial"/>
        </w:rPr>
      </w:pPr>
      <w:r w:rsidRPr="0080106C">
        <w:rPr>
          <w:rFonts w:ascii="Arial" w:hAnsi="Arial" w:cs="Arial"/>
        </w:rPr>
        <w:t>El proceso de entrega de información deberá activarse de manera inmediata ante cualquier novedad administrativa que implique cambio de responsable. Su alcance comprende la totalidad de la información producida o gestionada en el marco de las funciones del servidor público, sin distinción de plataforma tecnológica o soporte, incluyendo Microsoft 365, sistemas institucionales, repositorios documentales y archivos físicos, garantizando así la integralidad de la información institucional.</w:t>
      </w:r>
    </w:p>
    <w:p w14:paraId="54C57DD1" w14:textId="77777777" w:rsidR="00AE70EA" w:rsidRPr="0080106C" w:rsidRDefault="00AE70EA" w:rsidP="00AE70EA">
      <w:pPr>
        <w:jc w:val="both"/>
        <w:rPr>
          <w:rFonts w:ascii="Arial" w:hAnsi="Arial" w:cs="Arial"/>
        </w:rPr>
      </w:pPr>
    </w:p>
    <w:p w14:paraId="3778AE9E" w14:textId="77777777" w:rsidR="00AE70EA" w:rsidRPr="0080106C" w:rsidRDefault="00AE70EA" w:rsidP="00AE70EA">
      <w:pPr>
        <w:jc w:val="both"/>
        <w:rPr>
          <w:rFonts w:ascii="Arial" w:hAnsi="Arial" w:cs="Arial"/>
        </w:rPr>
      </w:pPr>
      <w:r w:rsidRPr="0080106C">
        <w:rPr>
          <w:rFonts w:ascii="Arial" w:hAnsi="Arial" w:cs="Arial"/>
        </w:rPr>
        <w:t>Previo a la entrega, el funcionario deberá realizar un ejercicio riguroso de revisión, clasificación y organización de la información a su cargo, asegurando su correspondencia con las TRD vigentes. Esto implica diferenciar claramente los documentos de archivo y los documentos de apoyo, organizar la información conforme a la estructura orgánico-funcional de la Entidad, identificar los expedientes electrónicos y físicos asociados a los procesos, y depurar duplicidades que no afecten la integridad documental. Este ejercicio deberá priorizar la información crítica relacionada con procesos administrativos, misionales y de control fiscal, dada su relevancia para la continuidad institucional y la sostenibilidad probatoria.</w:t>
      </w:r>
    </w:p>
    <w:p w14:paraId="2BCFA842" w14:textId="77777777" w:rsidR="00AE70EA" w:rsidRPr="0080106C" w:rsidRDefault="00AE70EA" w:rsidP="00AE70EA">
      <w:pPr>
        <w:jc w:val="both"/>
        <w:rPr>
          <w:rFonts w:ascii="Arial" w:hAnsi="Arial" w:cs="Arial"/>
        </w:rPr>
      </w:pPr>
    </w:p>
    <w:p w14:paraId="5876C30B" w14:textId="77777777" w:rsidR="00AE70EA" w:rsidRPr="0080106C" w:rsidRDefault="00AE70EA" w:rsidP="00AE70EA">
      <w:pPr>
        <w:jc w:val="both"/>
        <w:rPr>
          <w:rFonts w:ascii="Arial" w:hAnsi="Arial" w:cs="Arial"/>
        </w:rPr>
      </w:pPr>
      <w:r w:rsidRPr="0080106C">
        <w:rPr>
          <w:rFonts w:ascii="Arial" w:hAnsi="Arial" w:cs="Arial"/>
        </w:rPr>
        <w:t>De manera complementaria, se deberá garantizar la transferencia formal de la propiedad, administración y accesos a la información, evitando que esta permanezca bajo control exclusivo de cuentas individuales. Esta actividad deberá realizarse en coordinación con la Dirección de Tecnologías de la Información y las Comunicaciones, asegurando la continuidad operativa, la correcta asignación de permisos y la trazabilidad de los accesos a la información.</w:t>
      </w:r>
    </w:p>
    <w:p w14:paraId="5F255962" w14:textId="77777777" w:rsidR="00AE70EA" w:rsidRPr="0080106C" w:rsidRDefault="00AE70EA" w:rsidP="00AE70EA">
      <w:pPr>
        <w:jc w:val="both"/>
        <w:rPr>
          <w:rFonts w:ascii="Arial" w:hAnsi="Arial" w:cs="Arial"/>
        </w:rPr>
      </w:pPr>
    </w:p>
    <w:p w14:paraId="36E2DD05" w14:textId="77777777" w:rsidR="00AE70EA" w:rsidRPr="0080106C" w:rsidRDefault="00AE70EA" w:rsidP="00AE70EA">
      <w:pPr>
        <w:jc w:val="both"/>
        <w:rPr>
          <w:rFonts w:ascii="Arial" w:hAnsi="Arial" w:cs="Arial"/>
        </w:rPr>
      </w:pPr>
      <w:r w:rsidRPr="0080106C">
        <w:rPr>
          <w:rFonts w:ascii="Arial" w:hAnsi="Arial" w:cs="Arial"/>
        </w:rPr>
        <w:t>Toda la información deberá ser entregada debidamente organizada en los repositorios institucionales autorizados, principalmente en Datacontrabog y, posteriormente, en el SGDEA – CONTRADOC. Esta entrega deberá cumplir con criterios archivísticos claros, tales como la clasificación conforme a las TRD, la organización lógica de expedientes y carpetas, la identificación de versiones oficiales y su relación directa con los procesos que soporta. Así mismo, los entornos colaborativos deberán ser depurados, garantizando que la información relevante haya sido incorporada en los repositorios institucionales y no permanezca dispersa en espacios transitorios.</w:t>
      </w:r>
    </w:p>
    <w:p w14:paraId="3845C92E" w14:textId="77777777" w:rsidR="00AE70EA" w:rsidRPr="0080106C" w:rsidRDefault="00AE70EA" w:rsidP="00AE70EA">
      <w:pPr>
        <w:jc w:val="both"/>
        <w:rPr>
          <w:rFonts w:ascii="Arial" w:hAnsi="Arial" w:cs="Arial"/>
        </w:rPr>
      </w:pPr>
    </w:p>
    <w:p w14:paraId="6843C4AC" w14:textId="77777777" w:rsidR="00AE70EA" w:rsidRPr="0080106C" w:rsidRDefault="00AE70EA" w:rsidP="00AE70EA">
      <w:pPr>
        <w:jc w:val="both"/>
        <w:rPr>
          <w:rFonts w:ascii="Arial" w:hAnsi="Arial" w:cs="Arial"/>
        </w:rPr>
      </w:pPr>
      <w:r w:rsidRPr="0080106C">
        <w:rPr>
          <w:rFonts w:ascii="Arial" w:hAnsi="Arial" w:cs="Arial"/>
        </w:rPr>
        <w:t>Como parte fundamental del proceso, el funcionario deberá diligenciar el inventario documental en el formato oficial definido por la Entidad, el cual deberá incluir la totalidad de la información entregada, tanto en soporte electrónico como físico. Este inventario deberá detallar la ubicación, el estado, la clasificación y el contexto funcional de los documentos, constituyéndose en el soporte formal del proceso de entrega y en un instrumento clave para la trazabilidad y verificación de la información.</w:t>
      </w:r>
    </w:p>
    <w:p w14:paraId="0ADCE7F5" w14:textId="77777777" w:rsidR="00AE70EA" w:rsidRPr="0080106C" w:rsidRDefault="00AE70EA" w:rsidP="00AE70EA">
      <w:pPr>
        <w:jc w:val="both"/>
        <w:rPr>
          <w:rFonts w:ascii="Arial" w:hAnsi="Arial" w:cs="Arial"/>
        </w:rPr>
      </w:pPr>
    </w:p>
    <w:p w14:paraId="57BB63F1" w14:textId="77777777" w:rsidR="00AE70EA" w:rsidRPr="0080106C" w:rsidRDefault="00AE70EA" w:rsidP="00AE70EA">
      <w:pPr>
        <w:jc w:val="both"/>
        <w:rPr>
          <w:rFonts w:ascii="Arial" w:hAnsi="Arial" w:cs="Arial"/>
        </w:rPr>
      </w:pPr>
      <w:r w:rsidRPr="0080106C">
        <w:rPr>
          <w:rFonts w:ascii="Arial" w:hAnsi="Arial" w:cs="Arial"/>
        </w:rPr>
        <w:t>El jefe inmediato será responsable de verificar la correcta ejecución del proceso, validando la correspondencia entre el inventario documental y la información efectivamente entregada, así como la adecuada clasificación, organización y transferencia de accesos. Una vez realizada esta validación, se deberá dejar constancia formal del cierre del proceso, garantizando la responsabilidad institucional sobre la información recibida.</w:t>
      </w:r>
    </w:p>
    <w:p w14:paraId="4AF5E865" w14:textId="77777777" w:rsidR="00AE70EA" w:rsidRPr="0080106C" w:rsidRDefault="00AE70EA" w:rsidP="00AE70EA">
      <w:pPr>
        <w:jc w:val="both"/>
        <w:rPr>
          <w:rFonts w:ascii="Arial" w:hAnsi="Arial" w:cs="Arial"/>
        </w:rPr>
      </w:pPr>
    </w:p>
    <w:p w14:paraId="1C877624" w14:textId="761E61E5" w:rsidR="00AE70EA" w:rsidRDefault="00E018F0" w:rsidP="00AE70EA">
      <w:pPr>
        <w:jc w:val="both"/>
        <w:rPr>
          <w:rFonts w:ascii="Arial" w:hAnsi="Arial" w:cs="Arial"/>
        </w:rPr>
      </w:pPr>
      <w:r w:rsidRPr="00E018F0">
        <w:rPr>
          <w:rFonts w:ascii="Arial" w:hAnsi="Arial" w:cs="Arial"/>
        </w:rPr>
        <w:t xml:space="preserve">La eliminación de información únicamente podrá realizarse cuando, como resultado del proceso de evaluación archivística, se determine que esta no posee valor archivístico, probatorio, administrativo </w:t>
      </w:r>
      <w:r w:rsidRPr="00E018F0">
        <w:rPr>
          <w:rFonts w:ascii="Arial" w:hAnsi="Arial" w:cs="Arial"/>
        </w:rPr>
        <w:lastRenderedPageBreak/>
        <w:t>ni operativo para la Entidad. Para ello, deberá adelantarse un procedimiento controlado y previamente informado al Proceso de Gestión Documental y a la Dirección de Tecnologías de la Información y las Comunicaciones, garantizando la articulación entre los componentes archivísticos, tecnológicos y de seguridad de la información. Así mismo, la eliminación deberá contar con la validación del jefe inmediato, ejecutarse conforme a los lineamientos institucionales vigentes y quedar soportada mediante actas, registros o evidencias que permitan verificar su realización y trazabilidad. En ningún caso podrán eliminarse documentos de archivo ni documentos de apoyo que se encuentren vigentes, asociados a actuaciones institucionales o requeridos para fines administrativos, misionales, legales, fiscales o probatorios.</w:t>
      </w:r>
    </w:p>
    <w:p w14:paraId="069E85EE" w14:textId="77777777" w:rsidR="00E018F0" w:rsidRPr="0080106C" w:rsidRDefault="00E018F0" w:rsidP="00AE70EA">
      <w:pPr>
        <w:jc w:val="both"/>
        <w:rPr>
          <w:rFonts w:ascii="Arial" w:hAnsi="Arial" w:cs="Arial"/>
        </w:rPr>
      </w:pPr>
    </w:p>
    <w:p w14:paraId="13CBF356" w14:textId="77777777" w:rsidR="00AE70EA" w:rsidRPr="0080106C" w:rsidRDefault="00AE70EA" w:rsidP="00AE70EA">
      <w:pPr>
        <w:jc w:val="both"/>
        <w:rPr>
          <w:rFonts w:ascii="Arial" w:hAnsi="Arial" w:cs="Arial"/>
          <w:b/>
          <w:bCs/>
        </w:rPr>
      </w:pPr>
      <w:r w:rsidRPr="0080106C">
        <w:rPr>
          <w:rFonts w:ascii="Arial" w:hAnsi="Arial" w:cs="Arial"/>
        </w:rPr>
        <w:t>Finalmente, la implementación de estos lineamientos deberá realizarse de manera articulada entre las dependencias, el proceso de Gestión Documental y la Dirección de Tecnologías de la Información y las Comunicaciones, garantizando la integración entre los componentes archivísticos y tecnológicos. Su aplicación permite asegurar la continuidad en la gestión de la información, fortalecer la trazabilidad documental y garantizar la disponibilidad de evidencia confiable para el desarrollo de los procesos administrativos, misionales y de control fiscal en la Contraloría de Bogotá.</w:t>
      </w:r>
    </w:p>
    <w:p w14:paraId="1242DCD2"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Gestión de metadatos y preservación digital a largo plazo</w:t>
      </w:r>
    </w:p>
    <w:p w14:paraId="2A1E2F12"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La sostenibilidad de la información digital en el tiempo requiere la implementación de estrategias de preservación digital alineadas con el modelo OAIS (ISO 14721). En este sentido, el SGDEA deberá gestionar la información mediante paquetes de información (SIP, AIP y DIP), asegurando su control desde el ingreso hasta su acceso.</w:t>
      </w:r>
    </w:p>
    <w:p w14:paraId="630083A7"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Los documentos deberán contar con metadatos estructurados conforme a estándares como ISO 23081, así como metadatos de preservación (PREMIS), que permitan garantizar su autenticidad, integridad y contexto. De igual forma, se deberán implementar mecanismos de control de integridad mediante algoritmos hash, así como estrategias de migración y normalización hacia formatos longevos que aseguren su legibilidad futura.</w:t>
      </w:r>
    </w:p>
    <w:p w14:paraId="25C78DC3"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Seguridad de la información y control de acceso</w:t>
      </w:r>
    </w:p>
    <w:p w14:paraId="7396417C"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La información deberá gestionarse bajo esquemas de seguridad que respondan a su nivel de clasificación (pública, reservada o clasificada). Esto implica la definición de controles de acceso, permisos y trazabilidad de acciones sobre los documentos, en articulación con las políticas institucionales de seguridad de la información.</w:t>
      </w:r>
    </w:p>
    <w:p w14:paraId="665B3578"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Articulación con la función de control fiscal</w:t>
      </w:r>
    </w:p>
    <w:p w14:paraId="541F2D83"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La gestión documental adquiere un valor estratégico en la Contraloría de Bogotá, en tanto soporta la generación de evidencia necesaria para el desarrollo de auditorías, investigaciones fiscales y demás actuaciones misionales. La adecuada gestión de los documentos electrónicos permite garantizar la confiabilidad de la información y sustentar decisiones con impacto jurídico y administrativo.</w:t>
      </w:r>
    </w:p>
    <w:p w14:paraId="4B21CA2A"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lastRenderedPageBreak/>
        <w:t>La debilidad en estos procesos puede derivar en pérdida de evidencia, inconsistencias documentales y riesgos para la Entidad en escenarios de control.</w:t>
      </w:r>
    </w:p>
    <w:p w14:paraId="6A558359" w14:textId="77777777" w:rsidR="00AE70EA" w:rsidRPr="0080106C" w:rsidRDefault="00AE70EA" w:rsidP="00AE70EA">
      <w:pPr>
        <w:pStyle w:val="Ttulo3"/>
        <w:spacing w:line="240" w:lineRule="auto"/>
        <w:jc w:val="both"/>
        <w:rPr>
          <w:rFonts w:ascii="Arial" w:hAnsi="Arial" w:cs="Arial"/>
          <w:sz w:val="22"/>
          <w:szCs w:val="22"/>
        </w:rPr>
      </w:pPr>
      <w:r w:rsidRPr="0080106C">
        <w:rPr>
          <w:rFonts w:ascii="Arial" w:hAnsi="Arial" w:cs="Arial"/>
          <w:sz w:val="22"/>
          <w:szCs w:val="22"/>
        </w:rPr>
        <w:t>Responsabilidad institucional y seguimiento</w:t>
      </w:r>
    </w:p>
    <w:p w14:paraId="6D9CE238" w14:textId="77777777" w:rsidR="00AE70EA" w:rsidRPr="0080106C"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Los jefes de dependencia deberán liderar la implementación de estos lineamientos, asegurando que la información bajo su responsabilidad se encuentre debidamente organizada, clasificada e incorporada en los repositorios institucionales.</w:t>
      </w:r>
    </w:p>
    <w:p w14:paraId="369F65F8" w14:textId="693A221D" w:rsidR="00AE70EA" w:rsidRDefault="00AE70EA" w:rsidP="00AE70EA">
      <w:pPr>
        <w:pStyle w:val="NormalWeb"/>
        <w:spacing w:line="240" w:lineRule="auto"/>
        <w:jc w:val="both"/>
        <w:rPr>
          <w:rFonts w:ascii="Arial" w:hAnsi="Arial" w:cs="Arial"/>
          <w:sz w:val="22"/>
          <w:szCs w:val="22"/>
        </w:rPr>
      </w:pPr>
      <w:r w:rsidRPr="0080106C">
        <w:rPr>
          <w:rFonts w:ascii="Arial" w:hAnsi="Arial" w:cs="Arial"/>
          <w:sz w:val="22"/>
          <w:szCs w:val="22"/>
        </w:rPr>
        <w:t>Se deberán establecer mecanismos de seguimiento basados en indicadores de cumplimiento y niveles de madurez, que permitan evaluar la evolución de la gestión documental electrónica en la Entidad y orientar acciones de mejora continua.</w:t>
      </w:r>
    </w:p>
    <w:p w14:paraId="763BA22D" w14:textId="58864DC4" w:rsidR="003911C8" w:rsidRDefault="007C3A5E" w:rsidP="00AE70EA">
      <w:pPr>
        <w:pStyle w:val="NormalWeb"/>
        <w:spacing w:line="240" w:lineRule="auto"/>
        <w:jc w:val="both"/>
        <w:rPr>
          <w:rFonts w:ascii="Arial" w:hAnsi="Arial" w:cs="Arial"/>
          <w:sz w:val="22"/>
          <w:szCs w:val="22"/>
        </w:rPr>
      </w:pPr>
      <w:r w:rsidRPr="007C3A5E">
        <w:rPr>
          <w:rFonts w:ascii="Arial" w:hAnsi="Arial" w:cs="Arial"/>
          <w:sz w:val="22"/>
          <w:szCs w:val="22"/>
        </w:rPr>
        <w:t>De manera complementaria, cada servidor público será responsable de la adecuada gestión de la información que produzca, reciba, tramite o administre en el desarrollo de sus funciones, independientemente de la plataforma tecnológica utilizada. Esta responsabilidad comprende la correcta clasificación de los documentos conforme a las Tablas de Retención Documental (TRD), la identificación de aquellos que constituyen Documentos Electrónicos de Archivo (DEA), su adecuada organización dentro de los repositorios institucionales autorizados y la conservación de las versiones oficiales que soportan las actuaciones administrativas, técnicas y misionales de la Entidad. Así mismo, los servidores deberán evitar que documentos con valor archivístico permanezcan de manera indefinida en entornos colaborativos o de almacenamiento transitorio como OneDrive, SharePoint o Teams, garantizando su incorporación oportuna en Datacontrabog y posteriormente en el SGDEA – CONTRADOC. La aplicación de estas responsabilidades fortalece el principio de corresponsabilidad institucional frente a la gestión documental, contribuye a la preservación de la evidencia digital y favorece la trazabilidad y confiabilidad de la información en el ejercicio de la vigilancia y control fiscal.</w:t>
      </w:r>
    </w:p>
    <w:p w14:paraId="33622F92" w14:textId="7EE4D2F3" w:rsidR="0044590F" w:rsidRPr="0080106C" w:rsidRDefault="0044590F" w:rsidP="00AE70EA">
      <w:pPr>
        <w:pStyle w:val="NormalWeb"/>
        <w:spacing w:line="240" w:lineRule="auto"/>
        <w:jc w:val="both"/>
        <w:rPr>
          <w:rFonts w:ascii="Arial" w:hAnsi="Arial" w:cs="Arial"/>
          <w:sz w:val="22"/>
          <w:szCs w:val="22"/>
        </w:rPr>
      </w:pPr>
      <w:r>
        <w:rPr>
          <w:rFonts w:ascii="Arial" w:hAnsi="Arial" w:cs="Arial"/>
          <w:sz w:val="22"/>
          <w:szCs w:val="22"/>
        </w:rPr>
        <w:t>C</w:t>
      </w:r>
      <w:r w:rsidRPr="0044590F">
        <w:rPr>
          <w:rFonts w:ascii="Arial" w:hAnsi="Arial" w:cs="Arial"/>
          <w:sz w:val="22"/>
          <w:szCs w:val="22"/>
        </w:rPr>
        <w:t>ada dependencia deberá identificar y formalizar los roles responsables de la gestión, administración, acceso, tratamiento y custodia de la información sensible o estratégica producida o administrada en los entornos Microsoft 365, tomando como referencia los Activos de Información previamente identificados por la Entidad. Para tal efecto, deberán definirse los servidores responsables de la producción, recepción, organización, consulta, transferencia y conservación de los Documentos Electrónicos de Archivo (DEA), garantizando la asignación clara de responsabilidades sobre la información institucional durante todo su ciclo de vida. Esta definición deberá contemplar perfiles como jefes de dependencia, asesores, gerentes, gestores de proceso, enlaces documentales, administradores de archivo y demás roles que intervengan en la gestión documental y tecnológica de la información. Así mismo, las dependencias deberán asegurar que los permisos y accesos otorgados en OneDrive, SharePoint, Teams, Datacontrabog y posteriormente en el SGDEA – CONTRADOC respondan a criterios de necesidad funcional, control de acceso y trazabilidad, fortaleciendo las condiciones de autenticidad, integridad, disponibilidad y seguridad de la información conforme a las TRD, el PGD, las políticas de seguridad de la información y el Acuerdo 001 de 2024 del Archivo General de la Nación.</w:t>
      </w:r>
    </w:p>
    <w:p w14:paraId="1C17BD07" w14:textId="77777777" w:rsidR="00AE70EA" w:rsidRPr="003C0CF5" w:rsidRDefault="00AE70EA" w:rsidP="00AE70EA">
      <w:pPr>
        <w:spacing w:before="100" w:beforeAutospacing="1" w:after="100" w:afterAutospacing="1"/>
        <w:jc w:val="both"/>
        <w:outlineLvl w:val="2"/>
        <w:rPr>
          <w:rFonts w:ascii="Arial" w:hAnsi="Arial" w:cs="Arial"/>
          <w:b/>
          <w:bCs/>
          <w:lang w:val="es-CO" w:eastAsia="es-CO"/>
        </w:rPr>
      </w:pPr>
      <w:r w:rsidRPr="003C0CF5">
        <w:rPr>
          <w:rFonts w:ascii="Arial" w:hAnsi="Arial" w:cs="Arial"/>
          <w:b/>
          <w:bCs/>
          <w:lang w:val="es-CO" w:eastAsia="es-CO"/>
        </w:rPr>
        <w:t>Hoja de ruta</w:t>
      </w:r>
    </w:p>
    <w:p w14:paraId="55BB7887"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lastRenderedPageBreak/>
        <w:t>Con el propósito de asegurar la implementación efectiva de los lineamientos archivísticos en la Contraloría de Bogotá, se define la siguiente hoja de ruta orientada a las dependencias, la cual establece una secuencia de acciones articuladas entre los componentes documental y tecnológico, en el marco del fortalecimiento del SGDEA – CONTRADOC.</w:t>
      </w:r>
    </w:p>
    <w:p w14:paraId="140BBBB9" w14:textId="77777777" w:rsidR="00AE70EA" w:rsidRPr="0080106C" w:rsidRDefault="00AE70EA" w:rsidP="00AE70EA">
      <w:pPr>
        <w:spacing w:before="100" w:beforeAutospacing="1" w:after="100" w:afterAutospacing="1"/>
        <w:jc w:val="both"/>
        <w:rPr>
          <w:rFonts w:ascii="Arial" w:hAnsi="Arial" w:cs="Arial"/>
          <w:b/>
          <w:bCs/>
          <w:lang w:val="es-CO" w:eastAsia="es-CO"/>
        </w:rPr>
      </w:pPr>
      <w:r w:rsidRPr="00943345">
        <w:rPr>
          <w:rFonts w:ascii="Arial" w:hAnsi="Arial" w:cs="Arial"/>
          <w:b/>
          <w:bCs/>
          <w:lang w:val="es-CO" w:eastAsia="es-CO"/>
        </w:rPr>
        <w:t>Fase 1. Diagnóstico y priorización de la información</w:t>
      </w:r>
    </w:p>
    <w:p w14:paraId="212D522B"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br/>
        <w:t>Cada dependencia deberá iniciar con la elaboración de un diagnóstico detallado de la información bajo su responsabilidad, identificando volúmenes documentales, fuentes de producción, plataformas tecnológicas utilizadas y repositorios existentes. En este proceso se deberá priorizar la identificación de usuarios que gestionan información crítica asociada a procesos administrativos y misionales, con el fin de establecer el estado real de la información, detectar riesgos de pérdida o dispersión y definir acciones de intervención.</w:t>
      </w:r>
    </w:p>
    <w:p w14:paraId="62B60AAB" w14:textId="77777777" w:rsidR="00AE70EA" w:rsidRPr="0080106C" w:rsidRDefault="00AE70EA" w:rsidP="00AE70EA">
      <w:pPr>
        <w:spacing w:before="100" w:beforeAutospacing="1" w:after="100" w:afterAutospacing="1"/>
        <w:jc w:val="both"/>
        <w:rPr>
          <w:rFonts w:ascii="Arial" w:hAnsi="Arial" w:cs="Arial"/>
          <w:b/>
          <w:bCs/>
          <w:lang w:val="es-CO" w:eastAsia="es-CO"/>
        </w:rPr>
      </w:pPr>
      <w:r w:rsidRPr="00943345">
        <w:rPr>
          <w:rFonts w:ascii="Arial" w:hAnsi="Arial" w:cs="Arial"/>
          <w:b/>
          <w:bCs/>
          <w:lang w:val="es-CO" w:eastAsia="es-CO"/>
        </w:rPr>
        <w:t>Fase 2. Clasificación y organización archivística</w:t>
      </w:r>
    </w:p>
    <w:p w14:paraId="7CC43429"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br/>
        <w:t>Con base en el diagnóstico, se deberán adelantar procesos sistemáticos de clasificación y organización de la información conforme a las Tablas de Retención Documental (TRD) y a la estructura orgánico-funcional de la Entidad. Esta fase incluye la conformación de expedientes electrónicos, la depuración de duplicidades y la incorporación de los documentos con valor archivístico en los repositorios institucionales, particularmente en Datacontrabog, como etapa previa a su integración en el SGDEA.</w:t>
      </w:r>
    </w:p>
    <w:p w14:paraId="0E11F445" w14:textId="77777777" w:rsidR="00AE70EA" w:rsidRPr="0080106C" w:rsidRDefault="00AE70EA" w:rsidP="00AE70EA">
      <w:pPr>
        <w:spacing w:before="100" w:beforeAutospacing="1" w:after="100" w:afterAutospacing="1"/>
        <w:jc w:val="both"/>
        <w:rPr>
          <w:rFonts w:ascii="Arial" w:hAnsi="Arial" w:cs="Arial"/>
          <w:b/>
          <w:bCs/>
          <w:lang w:val="es-CO" w:eastAsia="es-CO"/>
        </w:rPr>
      </w:pPr>
      <w:r w:rsidRPr="00943345">
        <w:rPr>
          <w:rFonts w:ascii="Arial" w:hAnsi="Arial" w:cs="Arial"/>
          <w:b/>
          <w:bCs/>
          <w:lang w:val="es-CO" w:eastAsia="es-CO"/>
        </w:rPr>
        <w:t>Fase 3. Aplicación de instrumentos archivísticos</w:t>
      </w:r>
    </w:p>
    <w:p w14:paraId="61D4B9C8"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br/>
        <w:t>Las dependencias deberán asegurar la implementación efectiva de los instrumentos archivísticos vigentes, tales como el Programa de Gestión Documental (PGD), el Sistema Integrado de Conservación (SIC) y las TRD. Esta aplicación deberá evidenciarse en la gestión diaria de la información, garantizando que los documentos cumplan con los principios de autenticidad, integridad, fiabilidad, disponibilidad y trazabilidad.</w:t>
      </w:r>
    </w:p>
    <w:p w14:paraId="38E808C5" w14:textId="77777777" w:rsidR="00AE70EA" w:rsidRPr="0080106C" w:rsidRDefault="00AE70EA" w:rsidP="00AE70EA">
      <w:pPr>
        <w:spacing w:before="100" w:beforeAutospacing="1" w:after="100" w:afterAutospacing="1"/>
        <w:jc w:val="both"/>
        <w:rPr>
          <w:rFonts w:ascii="Arial" w:hAnsi="Arial" w:cs="Arial"/>
          <w:b/>
          <w:bCs/>
          <w:lang w:val="es-CO" w:eastAsia="es-CO"/>
        </w:rPr>
      </w:pPr>
      <w:r w:rsidRPr="00943345">
        <w:rPr>
          <w:rFonts w:ascii="Arial" w:hAnsi="Arial" w:cs="Arial"/>
          <w:b/>
          <w:bCs/>
          <w:lang w:val="es-CO" w:eastAsia="es-CO"/>
        </w:rPr>
        <w:t>Fase 4. Articulación tecnológica e integración con el SGDEA</w:t>
      </w:r>
    </w:p>
    <w:p w14:paraId="38A5429C"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br/>
        <w:t>Se deberán priorizar las acciones necesarias para facilitar la integración de la información con los sistemas institucionales, especialmente con el SGDEA – CONTRADOC. Esto implica la organización técnica de los repositorios, la preparación de la información para procesos de migración, la estructuración adecuada en Datacontrabog y la adopción de buenas prácticas en el uso de herramientas como Microsoft 365, evitando la permanencia de información en entornos no controlados.</w:t>
      </w:r>
    </w:p>
    <w:p w14:paraId="36F93ABB" w14:textId="77777777" w:rsidR="00AE70EA" w:rsidRPr="0080106C" w:rsidRDefault="00AE70EA" w:rsidP="00AE70EA">
      <w:pPr>
        <w:spacing w:before="100" w:beforeAutospacing="1" w:after="100" w:afterAutospacing="1"/>
        <w:jc w:val="both"/>
        <w:rPr>
          <w:rFonts w:ascii="Arial" w:hAnsi="Arial" w:cs="Arial"/>
          <w:b/>
          <w:bCs/>
          <w:lang w:val="es-CO" w:eastAsia="es-CO"/>
        </w:rPr>
      </w:pPr>
      <w:r w:rsidRPr="00943345">
        <w:rPr>
          <w:rFonts w:ascii="Arial" w:hAnsi="Arial" w:cs="Arial"/>
          <w:b/>
          <w:bCs/>
          <w:lang w:val="es-CO" w:eastAsia="es-CO"/>
        </w:rPr>
        <w:t>Fase 5. Fortalecimiento de capacidades institucionales</w:t>
      </w:r>
    </w:p>
    <w:p w14:paraId="124EEC88"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lastRenderedPageBreak/>
        <w:br/>
        <w:t>Las dependencias deberán participar activamente en las jornadas de capacitación y sensibilización programadas por el proceso de Gestión Documental y la Dirección de Tecnologías de la Información y las Comunicaciones. Estas actividades estarán orientadas a fortalecer la cultura archivística en entornos digitales, promover el uso adecuado de los sistemas institucionales y asegurar la apropiación de los lineamientos definidos.</w:t>
      </w:r>
    </w:p>
    <w:p w14:paraId="78D4D3A7" w14:textId="77777777" w:rsidR="00AE70EA" w:rsidRPr="0080106C" w:rsidRDefault="00AE70EA" w:rsidP="00AE70EA">
      <w:pPr>
        <w:spacing w:before="100" w:beforeAutospacing="1" w:after="100" w:afterAutospacing="1"/>
        <w:jc w:val="both"/>
        <w:rPr>
          <w:rFonts w:ascii="Arial" w:hAnsi="Arial" w:cs="Arial"/>
          <w:b/>
          <w:bCs/>
          <w:lang w:val="es-CO" w:eastAsia="es-CO"/>
        </w:rPr>
      </w:pPr>
      <w:r w:rsidRPr="00943345">
        <w:rPr>
          <w:rFonts w:ascii="Arial" w:hAnsi="Arial" w:cs="Arial"/>
          <w:b/>
          <w:bCs/>
          <w:lang w:val="es-CO" w:eastAsia="es-CO"/>
        </w:rPr>
        <w:t>Fase 6. Seguimiento, evaluación y mejora continua</w:t>
      </w:r>
    </w:p>
    <w:p w14:paraId="17C89AFE"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br/>
        <w:t>Finalmente, cada dependencia deberá reportar periódicamente los avances en la implementación de la hoja de ruta, utilizando los mecanismos establecidos por la Entidad. Estos reportes deberán sustentarse en indicadores de cumplimiento que permitan medir el nivel de avance, identificar brechas y orientar acciones de mejora continua, contribuyendo al fortalecimiento de la gestión documental electrónica y al cumplimiento de la función de vigilancia y control fiscal.</w:t>
      </w:r>
    </w:p>
    <w:p w14:paraId="05EEB65A" w14:textId="77777777" w:rsidR="00AE70EA" w:rsidRPr="00943345" w:rsidRDefault="00AE70EA" w:rsidP="00AE70EA">
      <w:pPr>
        <w:spacing w:before="100" w:beforeAutospacing="1" w:after="100" w:afterAutospacing="1"/>
        <w:jc w:val="both"/>
        <w:rPr>
          <w:rFonts w:ascii="Arial" w:hAnsi="Arial" w:cs="Arial"/>
          <w:lang w:val="es-CO" w:eastAsia="es-CO"/>
        </w:rPr>
      </w:pPr>
      <w:r w:rsidRPr="00943345">
        <w:rPr>
          <w:rFonts w:ascii="Arial" w:hAnsi="Arial" w:cs="Arial"/>
          <w:lang w:val="es-CO" w:eastAsia="es-CO"/>
        </w:rPr>
        <w:t>La ejecución de esta hoja de ruta permitirá consolidar una gestión documental estructurada, articulada con los sistemas institucionales y alineada con las exigencias normativas, fortaleciendo la capacidad de la Contraloría de Bogotá para gestionar información confiable, trazable y sostenible en el tiempo.</w:t>
      </w:r>
    </w:p>
    <w:p w14:paraId="31D65763"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Se reconoce y agradece el compromiso de todas las dependencias en la aplicación de los presentes lineamientos, en la medida en que su implementación requiere una participación activa y articulada entre los diferentes procesos de la Entidad. La adecuada gestión de la información no depende exclusivamente del componente tecnológico o del proceso de Gestión Documental, sino que constituye una responsabilidad compartida que impacta directamente la calidad, confiabilidad y disponibilidad de la evidencia institucional.</w:t>
      </w:r>
    </w:p>
    <w:p w14:paraId="06E34FC1" w14:textId="77777777" w:rsidR="00AE70EA" w:rsidRPr="0080106C" w:rsidRDefault="00AE70EA" w:rsidP="00AE70EA">
      <w:pPr>
        <w:jc w:val="both"/>
        <w:rPr>
          <w:rFonts w:ascii="Arial" w:hAnsi="Arial" w:cs="Arial"/>
          <w:lang w:val="es-CO" w:eastAsia="es-CO"/>
        </w:rPr>
      </w:pPr>
    </w:p>
    <w:p w14:paraId="597749F9"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Es importante precisar que la adopción de estos lineamientos no exime a los funcionarios del cumplimiento de los demás procedimientos administrativos establecidos por la Entidad en escenarios de retiro, traslado, encargo o cualquier novedad relacionada con el cargo. Por el contrario, estos lineamientos se integran a dichos procedimientos, fortaleciendo el componente documental y garantizando que la entrega de la información se realice de manera organizada, verificable y conforme a los principios archivísticos.</w:t>
      </w:r>
    </w:p>
    <w:p w14:paraId="505DAB66" w14:textId="77777777" w:rsidR="00AE70EA" w:rsidRPr="0080106C" w:rsidRDefault="00AE70EA" w:rsidP="00AE70EA">
      <w:pPr>
        <w:jc w:val="both"/>
        <w:rPr>
          <w:rFonts w:ascii="Arial" w:hAnsi="Arial" w:cs="Arial"/>
          <w:lang w:val="es-CO" w:eastAsia="es-CO"/>
        </w:rPr>
      </w:pPr>
    </w:p>
    <w:p w14:paraId="34854F02" w14:textId="77777777" w:rsidR="00AE70EA" w:rsidRPr="0080106C" w:rsidRDefault="00AE70EA" w:rsidP="00AE70EA">
      <w:pPr>
        <w:jc w:val="both"/>
        <w:rPr>
          <w:rFonts w:ascii="Arial" w:hAnsi="Arial" w:cs="Arial"/>
          <w:lang w:val="es-CO" w:eastAsia="es-CO"/>
        </w:rPr>
      </w:pPr>
      <w:r w:rsidRPr="0080106C">
        <w:rPr>
          <w:rFonts w:ascii="Arial" w:hAnsi="Arial" w:cs="Arial"/>
          <w:lang w:val="es-CO" w:eastAsia="es-CO"/>
        </w:rPr>
        <w:t>La implementación progresiva y rigurosa de estas disposiciones permitirá consolidar un modelo de gestión documental coherente con la realidad digital de la Contraloría de Bogotá, fortaleciendo la preservación de la memoria institucional, la transparencia en la gestión pública y la capacidad probatoria de la información en el marco del ejercicio del control fiscal. En este contexto, cobra especial relevancia la aplicación consistente de los criterios de clasificación ya adoptados en Datacontrabog, los cuales constituyen la base para la organización, control y futura integración de la información en el SGDEA – CONTRADOC.</w:t>
      </w:r>
    </w:p>
    <w:p w14:paraId="7934C93A" w14:textId="77777777" w:rsidR="00AE70EA" w:rsidRPr="0080106C" w:rsidRDefault="00AE70EA" w:rsidP="00AE70EA">
      <w:pPr>
        <w:jc w:val="both"/>
        <w:rPr>
          <w:rFonts w:ascii="Arial" w:hAnsi="Arial" w:cs="Arial"/>
          <w:lang w:val="es-CO" w:eastAsia="es-CO"/>
        </w:rPr>
      </w:pPr>
    </w:p>
    <w:p w14:paraId="7918BD8A" w14:textId="77777777" w:rsidR="00AE70EA" w:rsidRPr="0080106C" w:rsidRDefault="00AE70EA" w:rsidP="00AE70EA">
      <w:pPr>
        <w:jc w:val="both"/>
        <w:rPr>
          <w:rFonts w:ascii="Arial" w:hAnsi="Arial" w:cs="Arial"/>
        </w:rPr>
      </w:pPr>
      <w:r w:rsidRPr="0080106C">
        <w:rPr>
          <w:rFonts w:ascii="Arial" w:hAnsi="Arial" w:cs="Arial"/>
          <w:lang w:val="es-CO" w:eastAsia="es-CO"/>
        </w:rPr>
        <w:t xml:space="preserve">El compromiso institucional frente a estos lineamientos contribuirá a mitigar riesgos asociados a la pérdida de información, la dispersión documental y las debilidades en la trazabilidad, consolidando así una gestión de la información alineada con las exigencias normativas y con las necesidades propias </w:t>
      </w:r>
      <w:r w:rsidRPr="0080106C">
        <w:rPr>
          <w:rFonts w:ascii="Arial" w:hAnsi="Arial" w:cs="Arial"/>
          <w:lang w:val="es-CO" w:eastAsia="es-CO"/>
        </w:rPr>
        <w:lastRenderedPageBreak/>
        <w:t>de los procesos administrativos, misionales y de control fiscal de la Entidad.</w:t>
      </w:r>
    </w:p>
    <w:p w14:paraId="502359D2" w14:textId="43432C17" w:rsidR="00C559A0" w:rsidRPr="00BE1350" w:rsidRDefault="007F738A" w:rsidP="00AE70EA">
      <w:r w:rsidRPr="00BE1350">
        <w:t xml:space="preserve"> </w:t>
      </w:r>
    </w:p>
    <w:sectPr w:rsidR="00C559A0" w:rsidRPr="00BE1350" w:rsidSect="00474703">
      <w:headerReference w:type="default" r:id="rId8"/>
      <w:footerReference w:type="default" r:id="rId9"/>
      <w:pgSz w:w="12240" w:h="15840"/>
      <w:pgMar w:top="2552" w:right="900" w:bottom="1660" w:left="1440" w:header="713" w:footer="14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2F77" w14:textId="77777777" w:rsidR="00E671AC" w:rsidRDefault="00E671AC">
      <w:r>
        <w:separator/>
      </w:r>
    </w:p>
  </w:endnote>
  <w:endnote w:type="continuationSeparator" w:id="0">
    <w:p w14:paraId="26B6371E" w14:textId="77777777" w:rsidR="00E671AC" w:rsidRDefault="00E6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Bold">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panose1 w:val="00000000000000000000"/>
    <w:charset w:val="00"/>
    <w:family w:val="roman"/>
    <w:notTrueType/>
    <w:pitch w:val="default"/>
  </w:font>
  <w:font w:name="Humanst521 XBdCn B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5974E" w14:textId="77777777" w:rsidR="003D250D" w:rsidRDefault="003D250D">
    <w:pPr>
      <w:pStyle w:val="Textoindependiente"/>
      <w:spacing w:line="14" w:lineRule="auto"/>
      <w:rPr>
        <w:sz w:val="20"/>
      </w:rPr>
    </w:pPr>
    <w:r>
      <w:rPr>
        <w:noProof/>
        <w:sz w:val="20"/>
        <w:lang w:val="es-CO" w:eastAsia="es-CO"/>
      </w:rPr>
      <mc:AlternateContent>
        <mc:Choice Requires="wps">
          <w:drawing>
            <wp:anchor distT="0" distB="0" distL="0" distR="0" simplePos="0" relativeHeight="480513536" behindDoc="1" locked="0" layoutInCell="1" allowOverlap="1" wp14:anchorId="04C95B5F" wp14:editId="3BC2F82C">
              <wp:simplePos x="0" y="0"/>
              <wp:positionH relativeFrom="page">
                <wp:posOffset>1068120</wp:posOffset>
              </wp:positionH>
              <wp:positionV relativeFrom="page">
                <wp:posOffset>8932440</wp:posOffset>
              </wp:positionV>
              <wp:extent cx="3127375" cy="6877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7375" cy="687705"/>
                      </a:xfrm>
                      <a:prstGeom prst="rect">
                        <a:avLst/>
                      </a:prstGeom>
                    </wps:spPr>
                    <wps:txbx>
                      <w:txbxContent>
                        <w:p w14:paraId="06D7D426" w14:textId="77777777" w:rsidR="003D250D" w:rsidRDefault="00E671AC">
                          <w:pPr>
                            <w:pStyle w:val="Textoindependiente"/>
                            <w:spacing w:before="13" w:line="252" w:lineRule="exact"/>
                            <w:ind w:left="20"/>
                          </w:pPr>
                          <w:hyperlink r:id="rId1">
                            <w:r w:rsidR="003D250D">
                              <w:rPr>
                                <w:spacing w:val="-2"/>
                              </w:rPr>
                              <w:t>www.contraloriabogota.gov.co</w:t>
                            </w:r>
                          </w:hyperlink>
                        </w:p>
                        <w:p w14:paraId="20F26637" w14:textId="77777777" w:rsidR="003D250D" w:rsidRDefault="003D250D">
                          <w:pPr>
                            <w:pStyle w:val="Textoindependiente"/>
                            <w:spacing w:line="252" w:lineRule="exact"/>
                            <w:ind w:left="20"/>
                          </w:pPr>
                          <w:r>
                            <w:t>Carrera</w:t>
                          </w:r>
                          <w:r>
                            <w:rPr>
                              <w:spacing w:val="-4"/>
                            </w:rPr>
                            <w:t xml:space="preserve"> </w:t>
                          </w:r>
                          <w:r>
                            <w:t>32</w:t>
                          </w:r>
                          <w:r>
                            <w:rPr>
                              <w:spacing w:val="-2"/>
                            </w:rPr>
                            <w:t xml:space="preserve"> </w:t>
                          </w:r>
                          <w:r>
                            <w:t>A</w:t>
                          </w:r>
                          <w:r>
                            <w:rPr>
                              <w:spacing w:val="-4"/>
                            </w:rPr>
                            <w:t xml:space="preserve"> </w:t>
                          </w:r>
                          <w:r>
                            <w:t>N°</w:t>
                          </w:r>
                          <w:r>
                            <w:rPr>
                              <w:spacing w:val="-1"/>
                            </w:rPr>
                            <w:t xml:space="preserve"> </w:t>
                          </w:r>
                          <w:r>
                            <w:t>26</w:t>
                          </w:r>
                          <w:r>
                            <w:rPr>
                              <w:spacing w:val="-4"/>
                            </w:rPr>
                            <w:t xml:space="preserve"> </w:t>
                          </w:r>
                          <w:r>
                            <w:t>A</w:t>
                          </w:r>
                          <w:r>
                            <w:rPr>
                              <w:spacing w:val="-3"/>
                            </w:rPr>
                            <w:t xml:space="preserve"> </w:t>
                          </w:r>
                          <w:r>
                            <w:t>- 10</w:t>
                          </w:r>
                          <w:r>
                            <w:rPr>
                              <w:spacing w:val="-1"/>
                            </w:rPr>
                            <w:t xml:space="preserve"> </w:t>
                          </w:r>
                          <w:r>
                            <w:t>-</w:t>
                          </w:r>
                          <w:r>
                            <w:rPr>
                              <w:spacing w:val="-2"/>
                            </w:rPr>
                            <w:t xml:space="preserve"> </w:t>
                          </w:r>
                          <w:r>
                            <w:t>Código</w:t>
                          </w:r>
                          <w:r>
                            <w:rPr>
                              <w:spacing w:val="-4"/>
                            </w:rPr>
                            <w:t xml:space="preserve"> </w:t>
                          </w:r>
                          <w:r>
                            <w:t>Postal</w:t>
                          </w:r>
                          <w:r>
                            <w:rPr>
                              <w:spacing w:val="-1"/>
                            </w:rPr>
                            <w:t xml:space="preserve"> </w:t>
                          </w:r>
                          <w:r>
                            <w:rPr>
                              <w:spacing w:val="-2"/>
                            </w:rPr>
                            <w:t>111321</w:t>
                          </w:r>
                        </w:p>
                        <w:p w14:paraId="0E47FD21" w14:textId="77777777" w:rsidR="003D250D" w:rsidRDefault="003D250D">
                          <w:pPr>
                            <w:pStyle w:val="Textoindependiente"/>
                            <w:spacing w:before="2"/>
                            <w:ind w:left="20"/>
                          </w:pPr>
                          <w:r>
                            <w:t>PBX:</w:t>
                          </w:r>
                          <w:r>
                            <w:rPr>
                              <w:spacing w:val="-2"/>
                            </w:rPr>
                            <w:t xml:space="preserve"> 3358888</w:t>
                          </w:r>
                        </w:p>
                        <w:p w14:paraId="7AC68535" w14:textId="77777777" w:rsidR="003D250D" w:rsidRDefault="003D250D">
                          <w:pPr>
                            <w:pStyle w:val="Textoindependiente"/>
                            <w:spacing w:before="1"/>
                            <w:ind w:left="20"/>
                          </w:pPr>
                          <w:r>
                            <w:t>Página</w:t>
                          </w:r>
                          <w:r>
                            <w:rPr>
                              <w:spacing w:val="-2"/>
                            </w:rPr>
                            <w:t xml:space="preserve"> </w:t>
                          </w:r>
                          <w:r>
                            <w:rPr>
                              <w:rFonts w:ascii="Calibri" w:hAnsi="Calibri"/>
                              <w:sz w:val="24"/>
                            </w:rPr>
                            <w:fldChar w:fldCharType="begin"/>
                          </w:r>
                          <w:r>
                            <w:rPr>
                              <w:rFonts w:ascii="Calibri" w:hAnsi="Calibri"/>
                              <w:sz w:val="24"/>
                            </w:rPr>
                            <w:instrText xml:space="preserve"> PAGE </w:instrText>
                          </w:r>
                          <w:r>
                            <w:rPr>
                              <w:rFonts w:ascii="Calibri" w:hAnsi="Calibri"/>
                              <w:sz w:val="24"/>
                            </w:rPr>
                            <w:fldChar w:fldCharType="separate"/>
                          </w:r>
                          <w:r w:rsidR="00EF6B42">
                            <w:rPr>
                              <w:rFonts w:ascii="Calibri" w:hAnsi="Calibri"/>
                              <w:noProof/>
                              <w:sz w:val="24"/>
                            </w:rPr>
                            <w:t>52</w:t>
                          </w:r>
                          <w:r>
                            <w:rPr>
                              <w:rFonts w:ascii="Calibri" w:hAnsi="Calibri"/>
                              <w:sz w:val="24"/>
                            </w:rPr>
                            <w:fldChar w:fldCharType="end"/>
                          </w:r>
                          <w:r>
                            <w:rPr>
                              <w:rFonts w:ascii="Calibri" w:hAnsi="Calibri"/>
                              <w:spacing w:val="6"/>
                              <w:sz w:val="24"/>
                            </w:rPr>
                            <w:t xml:space="preserve"> </w:t>
                          </w:r>
                          <w:r>
                            <w:t>de</w:t>
                          </w:r>
                          <w:r>
                            <w:rPr>
                              <w:spacing w:val="-3"/>
                            </w:rPr>
                            <w:t xml:space="preserve"> </w:t>
                          </w:r>
                          <w:r>
                            <w:rPr>
                              <w:spacing w:val="-5"/>
                            </w:rPr>
                            <w:fldChar w:fldCharType="begin"/>
                          </w:r>
                          <w:r>
                            <w:rPr>
                              <w:spacing w:val="-5"/>
                            </w:rPr>
                            <w:instrText xml:space="preserve"> NUMPAGES </w:instrText>
                          </w:r>
                          <w:r>
                            <w:rPr>
                              <w:spacing w:val="-5"/>
                            </w:rPr>
                            <w:fldChar w:fldCharType="separate"/>
                          </w:r>
                          <w:r w:rsidR="00EF6B42">
                            <w:rPr>
                              <w:noProof/>
                              <w:spacing w:val="-5"/>
                            </w:rPr>
                            <w:t>79</w:t>
                          </w:r>
                          <w:r>
                            <w:rPr>
                              <w:spacing w:val="-5"/>
                            </w:rPr>
                            <w:fldChar w:fldCharType="end"/>
                          </w:r>
                        </w:p>
                      </w:txbxContent>
                    </wps:txbx>
                    <wps:bodyPr wrap="square" lIns="0" tIns="0" rIns="0" bIns="0" rtlCol="0">
                      <a:noAutofit/>
                    </wps:bodyPr>
                  </wps:wsp>
                </a:graphicData>
              </a:graphic>
            </wp:anchor>
          </w:drawing>
        </mc:Choice>
        <mc:Fallback>
          <w:pict>
            <v:shapetype w14:anchorId="04C95B5F" id="_x0000_t202" coordsize="21600,21600" o:spt="202" path="m,l,21600r21600,l21600,xe">
              <v:stroke joinstyle="miter"/>
              <v:path gradientshapeok="t" o:connecttype="rect"/>
            </v:shapetype>
            <v:shape id="Textbox 3" o:spid="_x0000_s1027" type="#_x0000_t202" style="position:absolute;margin-left:84.1pt;margin-top:703.35pt;width:246.25pt;height:54.15pt;z-index:-2280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" filled="f" stroked="f">
              <v:textbox inset="0,0,0,0">
                <w:txbxContent>
                  <w:p w14:paraId="06D7D426" w14:textId="77777777" w:rsidR="003D250D" w:rsidRDefault="00E671AC">
                    <w:pPr>
                      <w:pStyle w:val="Textoindependiente"/>
                      <w:spacing w:before="13" w:line="252" w:lineRule="exact"/>
                      <w:ind w:left="20"/>
                    </w:pPr>
                    <w:hyperlink r:id="rId2">
                      <w:r w:rsidR="003D250D">
                        <w:rPr>
                          <w:spacing w:val="-2"/>
                        </w:rPr>
                        <w:t>www.contraloriabogota.gov.co</w:t>
                      </w:r>
                    </w:hyperlink>
                  </w:p>
                  <w:p w14:paraId="20F26637" w14:textId="77777777" w:rsidR="003D250D" w:rsidRDefault="003D250D">
                    <w:pPr>
                      <w:pStyle w:val="Textoindependiente"/>
                      <w:spacing w:line="252" w:lineRule="exact"/>
                      <w:ind w:left="20"/>
                    </w:pPr>
                    <w:r>
                      <w:t>Carrera</w:t>
                    </w:r>
                    <w:r>
                      <w:rPr>
                        <w:spacing w:val="-4"/>
                      </w:rPr>
                      <w:t xml:space="preserve"> </w:t>
                    </w:r>
                    <w:r>
                      <w:t>32</w:t>
                    </w:r>
                    <w:r>
                      <w:rPr>
                        <w:spacing w:val="-2"/>
                      </w:rPr>
                      <w:t xml:space="preserve"> </w:t>
                    </w:r>
                    <w:r>
                      <w:t>A</w:t>
                    </w:r>
                    <w:r>
                      <w:rPr>
                        <w:spacing w:val="-4"/>
                      </w:rPr>
                      <w:t xml:space="preserve"> </w:t>
                    </w:r>
                    <w:r>
                      <w:t>N°</w:t>
                    </w:r>
                    <w:r>
                      <w:rPr>
                        <w:spacing w:val="-1"/>
                      </w:rPr>
                      <w:t xml:space="preserve"> </w:t>
                    </w:r>
                    <w:r>
                      <w:t>26</w:t>
                    </w:r>
                    <w:r>
                      <w:rPr>
                        <w:spacing w:val="-4"/>
                      </w:rPr>
                      <w:t xml:space="preserve"> </w:t>
                    </w:r>
                    <w:r>
                      <w:t>A</w:t>
                    </w:r>
                    <w:r>
                      <w:rPr>
                        <w:spacing w:val="-3"/>
                      </w:rPr>
                      <w:t xml:space="preserve"> </w:t>
                    </w:r>
                    <w:r>
                      <w:t>- 10</w:t>
                    </w:r>
                    <w:r>
                      <w:rPr>
                        <w:spacing w:val="-1"/>
                      </w:rPr>
                      <w:t xml:space="preserve"> </w:t>
                    </w:r>
                    <w:r>
                      <w:t>-</w:t>
                    </w:r>
                    <w:r>
                      <w:rPr>
                        <w:spacing w:val="-2"/>
                      </w:rPr>
                      <w:t xml:space="preserve"> </w:t>
                    </w:r>
                    <w:r>
                      <w:t>Código</w:t>
                    </w:r>
                    <w:r>
                      <w:rPr>
                        <w:spacing w:val="-4"/>
                      </w:rPr>
                      <w:t xml:space="preserve"> </w:t>
                    </w:r>
                    <w:r>
                      <w:t>Postal</w:t>
                    </w:r>
                    <w:r>
                      <w:rPr>
                        <w:spacing w:val="-1"/>
                      </w:rPr>
                      <w:t xml:space="preserve"> </w:t>
                    </w:r>
                    <w:r>
                      <w:rPr>
                        <w:spacing w:val="-2"/>
                      </w:rPr>
                      <w:t>111321</w:t>
                    </w:r>
                  </w:p>
                  <w:p w14:paraId="0E47FD21" w14:textId="77777777" w:rsidR="003D250D" w:rsidRDefault="003D250D">
                    <w:pPr>
                      <w:pStyle w:val="Textoindependiente"/>
                      <w:spacing w:before="2"/>
                      <w:ind w:left="20"/>
                    </w:pPr>
                    <w:r>
                      <w:t>PBX:</w:t>
                    </w:r>
                    <w:r>
                      <w:rPr>
                        <w:spacing w:val="-2"/>
                      </w:rPr>
                      <w:t xml:space="preserve"> 3358888</w:t>
                    </w:r>
                  </w:p>
                  <w:p w14:paraId="7AC68535" w14:textId="77777777" w:rsidR="003D250D" w:rsidRDefault="003D250D">
                    <w:pPr>
                      <w:pStyle w:val="Textoindependiente"/>
                      <w:spacing w:before="1"/>
                      <w:ind w:left="20"/>
                    </w:pPr>
                    <w:r>
                      <w:t>Página</w:t>
                    </w:r>
                    <w:r>
                      <w:rPr>
                        <w:spacing w:val="-2"/>
                      </w:rPr>
                      <w:t xml:space="preserve"> </w:t>
                    </w:r>
                    <w:r>
                      <w:rPr>
                        <w:rFonts w:ascii="Calibri" w:hAnsi="Calibri"/>
                        <w:sz w:val="24"/>
                      </w:rPr>
                      <w:fldChar w:fldCharType="begin"/>
                    </w:r>
                    <w:r>
                      <w:rPr>
                        <w:rFonts w:ascii="Calibri" w:hAnsi="Calibri"/>
                        <w:sz w:val="24"/>
                      </w:rPr>
                      <w:instrText xml:space="preserve"> PAGE </w:instrText>
                    </w:r>
                    <w:r>
                      <w:rPr>
                        <w:rFonts w:ascii="Calibri" w:hAnsi="Calibri"/>
                        <w:sz w:val="24"/>
                      </w:rPr>
                      <w:fldChar w:fldCharType="separate"/>
                    </w:r>
                    <w:r w:rsidR="00EF6B42">
                      <w:rPr>
                        <w:rFonts w:ascii="Calibri" w:hAnsi="Calibri"/>
                        <w:noProof/>
                        <w:sz w:val="24"/>
                      </w:rPr>
                      <w:t>52</w:t>
                    </w:r>
                    <w:r>
                      <w:rPr>
                        <w:rFonts w:ascii="Calibri" w:hAnsi="Calibri"/>
                        <w:sz w:val="24"/>
                      </w:rPr>
                      <w:fldChar w:fldCharType="end"/>
                    </w:r>
                    <w:r>
                      <w:rPr>
                        <w:rFonts w:ascii="Calibri" w:hAnsi="Calibri"/>
                        <w:spacing w:val="6"/>
                        <w:sz w:val="24"/>
                      </w:rPr>
                      <w:t xml:space="preserve"> </w:t>
                    </w:r>
                    <w:r>
                      <w:t>de</w:t>
                    </w:r>
                    <w:r>
                      <w:rPr>
                        <w:spacing w:val="-3"/>
                      </w:rPr>
                      <w:t xml:space="preserve"> </w:t>
                    </w:r>
                    <w:r>
                      <w:rPr>
                        <w:spacing w:val="-5"/>
                      </w:rPr>
                      <w:fldChar w:fldCharType="begin"/>
                    </w:r>
                    <w:r>
                      <w:rPr>
                        <w:spacing w:val="-5"/>
                      </w:rPr>
                      <w:instrText xml:space="preserve"> NUMPAGES </w:instrText>
                    </w:r>
                    <w:r>
                      <w:rPr>
                        <w:spacing w:val="-5"/>
                      </w:rPr>
                      <w:fldChar w:fldCharType="separate"/>
                    </w:r>
                    <w:r w:rsidR="00EF6B42">
                      <w:rPr>
                        <w:noProof/>
                        <w:spacing w:val="-5"/>
                      </w:rPr>
                      <w:t>79</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E294" w14:textId="77777777" w:rsidR="00E671AC" w:rsidRDefault="00E671AC">
      <w:r>
        <w:separator/>
      </w:r>
    </w:p>
  </w:footnote>
  <w:footnote w:type="continuationSeparator" w:id="0">
    <w:p w14:paraId="58A490BD" w14:textId="77777777" w:rsidR="00E671AC" w:rsidRDefault="00E6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AE0E" w14:textId="77777777" w:rsidR="003D250D" w:rsidRDefault="003D250D">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14:anchorId="6B9A23A2" wp14:editId="1355F5BD">
              <wp:simplePos x="0" y="0"/>
              <wp:positionH relativeFrom="page">
                <wp:posOffset>1042720</wp:posOffset>
              </wp:positionH>
              <wp:positionV relativeFrom="page">
                <wp:posOffset>449580</wp:posOffset>
              </wp:positionV>
              <wp:extent cx="6202680" cy="8883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2680" cy="8883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8225"/>
                          </w:tblGrid>
                          <w:tr w:rsidR="005F6BCE" w14:paraId="55919606" w14:textId="77777777" w:rsidTr="00872054">
                            <w:trPr>
                              <w:trHeight w:val="1379"/>
                            </w:trPr>
                            <w:tc>
                              <w:tcPr>
                                <w:tcW w:w="1414" w:type="dxa"/>
                              </w:tcPr>
                              <w:p w14:paraId="41B78458" w14:textId="77777777" w:rsidR="005F6BCE" w:rsidRDefault="005F6BCE">
                                <w:pPr>
                                  <w:pStyle w:val="TableParagraph"/>
                                  <w:rPr>
                                    <w:rFonts w:ascii="Times New Roman"/>
                                  </w:rPr>
                                </w:pPr>
                              </w:p>
                            </w:tc>
                            <w:tc>
                              <w:tcPr>
                                <w:tcW w:w="8225" w:type="dxa"/>
                              </w:tcPr>
                              <w:p w14:paraId="57CE2FED" w14:textId="515717F9" w:rsidR="002A6F33" w:rsidRPr="00074286" w:rsidRDefault="002A6F33" w:rsidP="002A6F33">
                                <w:pPr>
                                  <w:jc w:val="center"/>
                                  <w:rPr>
                                    <w:rFonts w:ascii="Arial" w:hAnsi="Arial" w:cs="Arial"/>
                                    <w:b/>
                                    <w:bCs/>
                                    <w:lang w:val="es-CO" w:eastAsia="es-CO"/>
                                  </w:rPr>
                                </w:pPr>
                                <w:r w:rsidRPr="00074286">
                                  <w:rPr>
                                    <w:rFonts w:ascii="Arial" w:hAnsi="Arial" w:cs="Arial"/>
                                    <w:b/>
                                    <w:bCs/>
                                    <w:lang w:val="es-CO" w:eastAsia="es-CO"/>
                                  </w:rPr>
                                  <w:t>LINEAMIENTOS ARCHIVÍSTICOS PARA LA GESTIÓN DE INFORMACIÓN PRODUCIDA EN MICROSOFT 365 EN LA CONTRALORÍA DE BOGOTÁ</w:t>
                                </w:r>
                              </w:p>
                              <w:p w14:paraId="14D1F430" w14:textId="2ED26089" w:rsidR="005F6BCE" w:rsidRDefault="005F6BCE" w:rsidP="002A6F33">
                                <w:pPr>
                                  <w:pStyle w:val="TableParagraph"/>
                                  <w:spacing w:before="69"/>
                                  <w:ind w:left="106"/>
                                  <w:rPr>
                                    <w:sz w:val="20"/>
                                  </w:rPr>
                                </w:pPr>
                              </w:p>
                            </w:tc>
                          </w:tr>
                        </w:tbl>
                        <w:p w14:paraId="6C974A43" w14:textId="77777777" w:rsidR="003D250D" w:rsidRDefault="003D250D">
                          <w:pPr>
                            <w:pStyle w:val="Textoindependiente"/>
                          </w:pPr>
                        </w:p>
                      </w:txbxContent>
                    </wps:txbx>
                    <wps:bodyPr wrap="square" lIns="0" tIns="0" rIns="0" bIns="0" rtlCol="0">
                      <a:noAutofit/>
                    </wps:bodyPr>
                  </wps:wsp>
                </a:graphicData>
              </a:graphic>
            </wp:anchor>
          </w:drawing>
        </mc:Choice>
        <mc:Fallback>
          <w:pict>
            <v:shapetype w14:anchorId="6B9A23A2" id="_x0000_t202" coordsize="21600,21600" o:spt="202" path="m,l,21600r21600,l21600,xe">
              <v:stroke joinstyle="miter"/>
              <v:path gradientshapeok="t" o:connecttype="rect"/>
            </v:shapetype>
            <v:shape id="Textbox 1" o:spid="_x0000_s1026" type="#_x0000_t202" style="position:absolute;margin-left:82.1pt;margin-top:35.4pt;width:488.4pt;height:69.9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8225"/>
                    </w:tblGrid>
                    <w:tr w:rsidR="005F6BCE" w14:paraId="55919606" w14:textId="77777777" w:rsidTr="00872054">
                      <w:trPr>
                        <w:trHeight w:val="1379"/>
                      </w:trPr>
                      <w:tc>
                        <w:tcPr>
                          <w:tcW w:w="1414" w:type="dxa"/>
                        </w:tcPr>
                        <w:p w14:paraId="41B78458" w14:textId="77777777" w:rsidR="005F6BCE" w:rsidRDefault="005F6BCE">
                          <w:pPr>
                            <w:pStyle w:val="TableParagraph"/>
                            <w:rPr>
                              <w:rFonts w:ascii="Times New Roman"/>
                            </w:rPr>
                          </w:pPr>
                        </w:p>
                      </w:tc>
                      <w:tc>
                        <w:tcPr>
                          <w:tcW w:w="8225" w:type="dxa"/>
                        </w:tcPr>
                        <w:p w14:paraId="57CE2FED" w14:textId="515717F9" w:rsidR="002A6F33" w:rsidRPr="00074286" w:rsidRDefault="002A6F33" w:rsidP="002A6F33">
                          <w:pPr>
                            <w:jc w:val="center"/>
                            <w:rPr>
                              <w:rFonts w:ascii="Arial" w:hAnsi="Arial" w:cs="Arial"/>
                              <w:b/>
                              <w:bCs/>
                              <w:lang w:val="es-CO" w:eastAsia="es-CO"/>
                            </w:rPr>
                          </w:pPr>
                          <w:r w:rsidRPr="00074286">
                            <w:rPr>
                              <w:rFonts w:ascii="Arial" w:hAnsi="Arial" w:cs="Arial"/>
                              <w:b/>
                              <w:bCs/>
                              <w:lang w:val="es-CO" w:eastAsia="es-CO"/>
                            </w:rPr>
                            <w:t>LINEAMIENTOS ARCHIVÍSTICOS PARA LA GESTIÓN DE INFORMACIÓN PRODUCIDA EN MICROSOFT 365 EN LA CONTRALORÍA DE BOGOTÁ</w:t>
                          </w:r>
                        </w:p>
                        <w:p w14:paraId="14D1F430" w14:textId="2ED26089" w:rsidR="005F6BCE" w:rsidRDefault="005F6BCE" w:rsidP="002A6F33">
                          <w:pPr>
                            <w:pStyle w:val="TableParagraph"/>
                            <w:spacing w:before="69"/>
                            <w:ind w:left="106"/>
                            <w:rPr>
                              <w:sz w:val="20"/>
                            </w:rPr>
                          </w:pPr>
                        </w:p>
                      </w:tc>
                    </w:tr>
                  </w:tbl>
                  <w:p w14:paraId="6C974A43" w14:textId="77777777" w:rsidR="003D250D" w:rsidRDefault="003D250D">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0513024" behindDoc="1" locked="0" layoutInCell="1" allowOverlap="1" wp14:anchorId="63C11F1C" wp14:editId="02D37202">
          <wp:simplePos x="0" y="0"/>
          <wp:positionH relativeFrom="page">
            <wp:posOffset>1160462</wp:posOffset>
          </wp:positionH>
          <wp:positionV relativeFrom="page">
            <wp:posOffset>660628</wp:posOffset>
          </wp:positionV>
          <wp:extent cx="741680" cy="466496"/>
          <wp:effectExtent l="0" t="0" r="0" b="0"/>
          <wp:wrapNone/>
          <wp:docPr id="16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41680" cy="466496"/>
                  </a:xfrm>
                  <a:prstGeom prst="rect">
                    <a:avLst/>
                  </a:prstGeom>
                </pic:spPr>
              </pic:pic>
            </a:graphicData>
          </a:graphic>
        </wp:anchor>
      </w:drawing>
    </w:r>
  </w:p>
</w:hdr>
</file>

<file path=word/intelligence2.xml><?xml version="1.0" encoding="utf-8"?>
<int2:intelligence xmlns:int2="http://schemas.microsoft.com/office/intelligence/2020/intelligence">
  <int2:observations>
    <int2:textHash int2:hashCode="RTypTB4Qs4Ucot" int2:id="WLEHbRVz">
      <int2:state int2:type="spell" int2:value="Rejected"/>
    </int2:textHash>
    <int2:textHash int2:hashCode="Rik4NlabOWj0wd" int2:id="GMHpdiZP">
      <int2:state int2:type="spell" int2:value="Rejected"/>
    </int2:textHash>
    <int2:textHash int2:hashCode="oqQKb6V9hGh5TO" int2:id="szf1X6jl">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B44622"/>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23F51A7"/>
    <w:multiLevelType w:val="multilevel"/>
    <w:tmpl w:val="56C4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B765D"/>
    <w:multiLevelType w:val="multilevel"/>
    <w:tmpl w:val="5E76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C40D0"/>
    <w:multiLevelType w:val="multilevel"/>
    <w:tmpl w:val="440A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53157"/>
    <w:multiLevelType w:val="multilevel"/>
    <w:tmpl w:val="36EEA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E71F8"/>
    <w:multiLevelType w:val="multilevel"/>
    <w:tmpl w:val="129A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548DF"/>
    <w:multiLevelType w:val="multilevel"/>
    <w:tmpl w:val="A56C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0173E5"/>
    <w:multiLevelType w:val="multilevel"/>
    <w:tmpl w:val="EE9E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7B7482"/>
    <w:multiLevelType w:val="multilevel"/>
    <w:tmpl w:val="F94E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A73659"/>
    <w:multiLevelType w:val="multilevel"/>
    <w:tmpl w:val="4836C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C3211D"/>
    <w:multiLevelType w:val="multilevel"/>
    <w:tmpl w:val="1C348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D3922"/>
    <w:multiLevelType w:val="multilevel"/>
    <w:tmpl w:val="3E38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816813"/>
    <w:multiLevelType w:val="multilevel"/>
    <w:tmpl w:val="C7C4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60757"/>
    <w:multiLevelType w:val="multilevel"/>
    <w:tmpl w:val="AB0A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B27E3"/>
    <w:multiLevelType w:val="multilevel"/>
    <w:tmpl w:val="C63C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561AED"/>
    <w:multiLevelType w:val="multilevel"/>
    <w:tmpl w:val="4D78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191AE0"/>
    <w:multiLevelType w:val="multilevel"/>
    <w:tmpl w:val="7E14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5247E"/>
    <w:multiLevelType w:val="multilevel"/>
    <w:tmpl w:val="574E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50108F"/>
    <w:multiLevelType w:val="hybridMultilevel"/>
    <w:tmpl w:val="B01C9604"/>
    <w:lvl w:ilvl="0" w:tplc="F91E849A">
      <w:start w:val="2"/>
      <w:numFmt w:val="decimal"/>
      <w:pStyle w:val="Subttulo"/>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6281D0C"/>
    <w:multiLevelType w:val="multilevel"/>
    <w:tmpl w:val="23EE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9E53F4"/>
    <w:multiLevelType w:val="multilevel"/>
    <w:tmpl w:val="E62A8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3511E2"/>
    <w:multiLevelType w:val="multilevel"/>
    <w:tmpl w:val="7946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B20A3A"/>
    <w:multiLevelType w:val="multilevel"/>
    <w:tmpl w:val="76A4D34E"/>
    <w:styleLink w:val="Listaactual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5E380B"/>
    <w:multiLevelType w:val="multilevel"/>
    <w:tmpl w:val="7B68A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FC66AA"/>
    <w:multiLevelType w:val="multilevel"/>
    <w:tmpl w:val="8386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291917"/>
    <w:multiLevelType w:val="multilevel"/>
    <w:tmpl w:val="84E83574"/>
    <w:lvl w:ilvl="0">
      <w:start w:val="1"/>
      <w:numFmt w:val="decimal"/>
      <w:pStyle w:val="Tabladeilustraciones"/>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6285536E"/>
    <w:multiLevelType w:val="multilevel"/>
    <w:tmpl w:val="CFB0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D65032"/>
    <w:multiLevelType w:val="multilevel"/>
    <w:tmpl w:val="B430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20160C"/>
    <w:multiLevelType w:val="multilevel"/>
    <w:tmpl w:val="1E389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A40D7C"/>
    <w:multiLevelType w:val="multilevel"/>
    <w:tmpl w:val="F386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CF0008"/>
    <w:multiLevelType w:val="multilevel"/>
    <w:tmpl w:val="AC94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FB1B0B"/>
    <w:multiLevelType w:val="multilevel"/>
    <w:tmpl w:val="3BAC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162B0"/>
    <w:multiLevelType w:val="multilevel"/>
    <w:tmpl w:val="A412D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5356A5"/>
    <w:multiLevelType w:val="multilevel"/>
    <w:tmpl w:val="6C8E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35095"/>
    <w:multiLevelType w:val="multilevel"/>
    <w:tmpl w:val="56BE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6B41E4"/>
    <w:multiLevelType w:val="multilevel"/>
    <w:tmpl w:val="2546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068E8"/>
    <w:multiLevelType w:val="multilevel"/>
    <w:tmpl w:val="A20A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3752C4"/>
    <w:multiLevelType w:val="multilevel"/>
    <w:tmpl w:val="F768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8"/>
  </w:num>
  <w:num w:numId="3">
    <w:abstractNumId w:val="22"/>
  </w:num>
  <w:num w:numId="4">
    <w:abstractNumId w:val="25"/>
  </w:num>
  <w:num w:numId="5">
    <w:abstractNumId w:val="7"/>
  </w:num>
  <w:num w:numId="6">
    <w:abstractNumId w:val="29"/>
  </w:num>
  <w:num w:numId="7">
    <w:abstractNumId w:val="8"/>
  </w:num>
  <w:num w:numId="8">
    <w:abstractNumId w:val="20"/>
  </w:num>
  <w:num w:numId="9">
    <w:abstractNumId w:val="30"/>
  </w:num>
  <w:num w:numId="10">
    <w:abstractNumId w:val="36"/>
  </w:num>
  <w:num w:numId="11">
    <w:abstractNumId w:val="4"/>
  </w:num>
  <w:num w:numId="12">
    <w:abstractNumId w:val="14"/>
  </w:num>
  <w:num w:numId="13">
    <w:abstractNumId w:val="15"/>
  </w:num>
  <w:num w:numId="14">
    <w:abstractNumId w:val="19"/>
  </w:num>
  <w:num w:numId="15">
    <w:abstractNumId w:val="33"/>
  </w:num>
  <w:num w:numId="16">
    <w:abstractNumId w:val="28"/>
  </w:num>
  <w:num w:numId="17">
    <w:abstractNumId w:val="1"/>
  </w:num>
  <w:num w:numId="18">
    <w:abstractNumId w:val="26"/>
  </w:num>
  <w:num w:numId="19">
    <w:abstractNumId w:val="2"/>
  </w:num>
  <w:num w:numId="20">
    <w:abstractNumId w:val="35"/>
  </w:num>
  <w:num w:numId="21">
    <w:abstractNumId w:val="37"/>
  </w:num>
  <w:num w:numId="22">
    <w:abstractNumId w:val="9"/>
  </w:num>
  <w:num w:numId="23">
    <w:abstractNumId w:val="17"/>
  </w:num>
  <w:num w:numId="24">
    <w:abstractNumId w:val="34"/>
  </w:num>
  <w:num w:numId="25">
    <w:abstractNumId w:val="13"/>
  </w:num>
  <w:num w:numId="26">
    <w:abstractNumId w:val="12"/>
  </w:num>
  <w:num w:numId="27">
    <w:abstractNumId w:val="5"/>
  </w:num>
  <w:num w:numId="28">
    <w:abstractNumId w:val="16"/>
  </w:num>
  <w:num w:numId="29">
    <w:abstractNumId w:val="24"/>
  </w:num>
  <w:num w:numId="30">
    <w:abstractNumId w:val="31"/>
  </w:num>
  <w:num w:numId="31">
    <w:abstractNumId w:val="6"/>
  </w:num>
  <w:num w:numId="32">
    <w:abstractNumId w:val="21"/>
  </w:num>
  <w:num w:numId="33">
    <w:abstractNumId w:val="27"/>
  </w:num>
  <w:num w:numId="34">
    <w:abstractNumId w:val="23"/>
  </w:num>
  <w:num w:numId="35">
    <w:abstractNumId w:val="10"/>
  </w:num>
  <w:num w:numId="36">
    <w:abstractNumId w:val="3"/>
  </w:num>
  <w:num w:numId="37">
    <w:abstractNumId w:val="11"/>
  </w:num>
  <w:num w:numId="38">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39"/>
    <w:rsid w:val="00002FED"/>
    <w:rsid w:val="0000581E"/>
    <w:rsid w:val="0002462E"/>
    <w:rsid w:val="00087AC7"/>
    <w:rsid w:val="00092A97"/>
    <w:rsid w:val="000B012E"/>
    <w:rsid w:val="000B772F"/>
    <w:rsid w:val="000F521D"/>
    <w:rsid w:val="00101949"/>
    <w:rsid w:val="00116D0A"/>
    <w:rsid w:val="001676FA"/>
    <w:rsid w:val="001B7319"/>
    <w:rsid w:val="001D5587"/>
    <w:rsid w:val="001E2085"/>
    <w:rsid w:val="001E2BBE"/>
    <w:rsid w:val="001F63E7"/>
    <w:rsid w:val="00241AC1"/>
    <w:rsid w:val="00263AE9"/>
    <w:rsid w:val="002A6F33"/>
    <w:rsid w:val="002B03C8"/>
    <w:rsid w:val="002D3C09"/>
    <w:rsid w:val="002D605A"/>
    <w:rsid w:val="0032386E"/>
    <w:rsid w:val="00374AD0"/>
    <w:rsid w:val="003911C8"/>
    <w:rsid w:val="003974BF"/>
    <w:rsid w:val="003A28CD"/>
    <w:rsid w:val="003C7D9D"/>
    <w:rsid w:val="003D250D"/>
    <w:rsid w:val="004052CA"/>
    <w:rsid w:val="0044590F"/>
    <w:rsid w:val="004507FC"/>
    <w:rsid w:val="00474703"/>
    <w:rsid w:val="004E5B86"/>
    <w:rsid w:val="0057222D"/>
    <w:rsid w:val="005F6BCE"/>
    <w:rsid w:val="0060517E"/>
    <w:rsid w:val="00607EFD"/>
    <w:rsid w:val="006234A7"/>
    <w:rsid w:val="00630DAD"/>
    <w:rsid w:val="0063688F"/>
    <w:rsid w:val="00642DE2"/>
    <w:rsid w:val="006B5111"/>
    <w:rsid w:val="006D4FC9"/>
    <w:rsid w:val="00715CF3"/>
    <w:rsid w:val="00731FAA"/>
    <w:rsid w:val="00734189"/>
    <w:rsid w:val="00737E25"/>
    <w:rsid w:val="0075212B"/>
    <w:rsid w:val="00780B34"/>
    <w:rsid w:val="007C3A5E"/>
    <w:rsid w:val="007F738A"/>
    <w:rsid w:val="008330A9"/>
    <w:rsid w:val="008C3B44"/>
    <w:rsid w:val="008D6633"/>
    <w:rsid w:val="008E1718"/>
    <w:rsid w:val="00906DDD"/>
    <w:rsid w:val="00952391"/>
    <w:rsid w:val="009A7A03"/>
    <w:rsid w:val="00A65F47"/>
    <w:rsid w:val="00AB664C"/>
    <w:rsid w:val="00AE70EA"/>
    <w:rsid w:val="00B63B24"/>
    <w:rsid w:val="00B8749E"/>
    <w:rsid w:val="00BE1350"/>
    <w:rsid w:val="00C1429B"/>
    <w:rsid w:val="00C559A0"/>
    <w:rsid w:val="00C76DF1"/>
    <w:rsid w:val="00C77F76"/>
    <w:rsid w:val="00CE6834"/>
    <w:rsid w:val="00D760DB"/>
    <w:rsid w:val="00DA0B79"/>
    <w:rsid w:val="00DB6EDD"/>
    <w:rsid w:val="00DD4547"/>
    <w:rsid w:val="00E018F0"/>
    <w:rsid w:val="00E06603"/>
    <w:rsid w:val="00E24205"/>
    <w:rsid w:val="00E671AC"/>
    <w:rsid w:val="00EC2D39"/>
    <w:rsid w:val="00EC52CD"/>
    <w:rsid w:val="00EF6B42"/>
    <w:rsid w:val="00FC2BE3"/>
    <w:rsid w:val="00FD0711"/>
    <w:rsid w:val="064EB1AD"/>
    <w:rsid w:val="1DCBC9E2"/>
    <w:rsid w:val="2CC1C879"/>
    <w:rsid w:val="44FEC535"/>
    <w:rsid w:val="4C9C3822"/>
    <w:rsid w:val="4FA5F13A"/>
    <w:rsid w:val="51609A06"/>
    <w:rsid w:val="52E18934"/>
    <w:rsid w:val="5CB7687D"/>
    <w:rsid w:val="5E352F56"/>
    <w:rsid w:val="7149E8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2379D"/>
  <w15:docId w15:val="{6ADC7E68-7C82-4CBF-882B-E1A50704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6"/>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link w:val="Ttulo1Car"/>
    <w:uiPriority w:val="9"/>
    <w:qFormat/>
    <w:pPr>
      <w:ind w:left="979" w:hanging="358"/>
      <w:outlineLvl w:val="0"/>
    </w:pPr>
    <w:rPr>
      <w:rFonts w:ascii="Arial" w:eastAsia="Arial" w:hAnsi="Arial" w:cs="Arial"/>
      <w:b/>
      <w:bCs/>
    </w:rPr>
  </w:style>
  <w:style w:type="paragraph" w:styleId="Ttulo2">
    <w:name w:val="heading 2"/>
    <w:basedOn w:val="Normal"/>
    <w:next w:val="Normal"/>
    <w:link w:val="Ttulo2Car"/>
    <w:uiPriority w:val="9"/>
    <w:qFormat/>
    <w:rsid w:val="00116D0A"/>
    <w:pPr>
      <w:keepNext/>
      <w:widowControl/>
      <w:autoSpaceDE/>
      <w:autoSpaceDN/>
      <w:spacing w:before="240" w:after="60" w:line="360" w:lineRule="auto"/>
      <w:ind w:left="576" w:hanging="576"/>
      <w:outlineLvl w:val="1"/>
    </w:pPr>
    <w:rPr>
      <w:rFonts w:ascii="Arial Narrow" w:eastAsia="Times New Roman" w:hAnsi="Arial Narrow" w:cs="Times New Roman"/>
      <w:b/>
      <w:bCs/>
      <w:i/>
      <w:iCs/>
      <w:szCs w:val="28"/>
      <w:lang w:val="es-CO" w:eastAsia="es-ES"/>
    </w:rPr>
  </w:style>
  <w:style w:type="paragraph" w:styleId="Ttulo3">
    <w:name w:val="heading 3"/>
    <w:basedOn w:val="Normal"/>
    <w:next w:val="Normal"/>
    <w:link w:val="Ttulo3Car"/>
    <w:uiPriority w:val="9"/>
    <w:qFormat/>
    <w:rsid w:val="00116D0A"/>
    <w:pPr>
      <w:keepNext/>
      <w:widowControl/>
      <w:autoSpaceDE/>
      <w:autoSpaceDN/>
      <w:spacing w:before="240" w:after="60" w:line="360" w:lineRule="auto"/>
      <w:ind w:left="720" w:hanging="720"/>
      <w:outlineLvl w:val="2"/>
    </w:pPr>
    <w:rPr>
      <w:rFonts w:ascii="Cambria" w:eastAsia="Times New Roman" w:hAnsi="Cambria" w:cs="Times New Roman"/>
      <w:b/>
      <w:bCs/>
      <w:sz w:val="26"/>
      <w:szCs w:val="26"/>
      <w:lang w:val="es-CO" w:eastAsia="es-ES"/>
    </w:rPr>
  </w:style>
  <w:style w:type="paragraph" w:styleId="Ttulo4">
    <w:name w:val="heading 4"/>
    <w:basedOn w:val="Normal"/>
    <w:next w:val="Normal"/>
    <w:link w:val="Ttulo4Car"/>
    <w:uiPriority w:val="9"/>
    <w:qFormat/>
    <w:rsid w:val="00116D0A"/>
    <w:pPr>
      <w:keepNext/>
      <w:widowControl/>
      <w:autoSpaceDE/>
      <w:autoSpaceDN/>
      <w:spacing w:before="240" w:after="60" w:line="360" w:lineRule="auto"/>
      <w:ind w:left="864" w:hanging="864"/>
      <w:outlineLvl w:val="3"/>
    </w:pPr>
    <w:rPr>
      <w:rFonts w:ascii="Calibri" w:eastAsia="Times New Roman" w:hAnsi="Calibri" w:cs="Times New Roman"/>
      <w:b/>
      <w:bCs/>
      <w:sz w:val="28"/>
      <w:szCs w:val="28"/>
      <w:lang w:val="es-CO" w:eastAsia="es-ES"/>
    </w:rPr>
  </w:style>
  <w:style w:type="paragraph" w:styleId="Ttulo5">
    <w:name w:val="heading 5"/>
    <w:basedOn w:val="Normal"/>
    <w:next w:val="Normal"/>
    <w:link w:val="Ttulo5Car"/>
    <w:uiPriority w:val="9"/>
    <w:qFormat/>
    <w:rsid w:val="00116D0A"/>
    <w:pPr>
      <w:widowControl/>
      <w:autoSpaceDE/>
      <w:autoSpaceDN/>
      <w:spacing w:before="240" w:after="60" w:line="360" w:lineRule="auto"/>
      <w:ind w:left="1008" w:hanging="1008"/>
      <w:outlineLvl w:val="4"/>
    </w:pPr>
    <w:rPr>
      <w:rFonts w:ascii="Calibri" w:eastAsia="Times New Roman" w:hAnsi="Calibri" w:cs="Times New Roman"/>
      <w:b/>
      <w:bCs/>
      <w:i/>
      <w:iCs/>
      <w:sz w:val="26"/>
      <w:szCs w:val="26"/>
      <w:lang w:val="es-CO" w:eastAsia="es-ES"/>
    </w:rPr>
  </w:style>
  <w:style w:type="paragraph" w:styleId="Ttulo6">
    <w:name w:val="heading 6"/>
    <w:basedOn w:val="Normal"/>
    <w:next w:val="Normal"/>
    <w:link w:val="Ttulo6Car"/>
    <w:uiPriority w:val="9"/>
    <w:qFormat/>
    <w:rsid w:val="00116D0A"/>
    <w:pPr>
      <w:widowControl/>
      <w:autoSpaceDE/>
      <w:autoSpaceDN/>
      <w:spacing w:before="240" w:after="60" w:line="360" w:lineRule="auto"/>
      <w:ind w:left="1152" w:hanging="1152"/>
      <w:outlineLvl w:val="5"/>
    </w:pPr>
    <w:rPr>
      <w:rFonts w:ascii="Calibri" w:eastAsia="Times New Roman" w:hAnsi="Calibri" w:cs="Times New Roman"/>
      <w:b/>
      <w:bCs/>
      <w:sz w:val="24"/>
      <w:szCs w:val="20"/>
      <w:lang w:val="es-CO" w:eastAsia="es-ES"/>
    </w:rPr>
  </w:style>
  <w:style w:type="paragraph" w:styleId="Ttulo7">
    <w:name w:val="heading 7"/>
    <w:basedOn w:val="Normal"/>
    <w:next w:val="Normal"/>
    <w:link w:val="Ttulo7Car"/>
    <w:uiPriority w:val="9"/>
    <w:unhideWhenUsed/>
    <w:qFormat/>
    <w:rsid w:val="00CE6834"/>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qFormat/>
    <w:rsid w:val="00116D0A"/>
    <w:pPr>
      <w:widowControl/>
      <w:autoSpaceDE/>
      <w:autoSpaceDN/>
      <w:spacing w:before="240" w:after="60" w:line="360" w:lineRule="auto"/>
      <w:ind w:left="1440" w:hanging="1440"/>
      <w:outlineLvl w:val="7"/>
    </w:pPr>
    <w:rPr>
      <w:rFonts w:ascii="Calibri" w:eastAsia="Times New Roman" w:hAnsi="Calibri" w:cs="Times New Roman"/>
      <w:i/>
      <w:iCs/>
      <w:sz w:val="24"/>
      <w:szCs w:val="24"/>
      <w:lang w:val="es-CO" w:eastAsia="es-ES"/>
    </w:rPr>
  </w:style>
  <w:style w:type="paragraph" w:styleId="Ttulo9">
    <w:name w:val="heading 9"/>
    <w:basedOn w:val="Normal"/>
    <w:next w:val="Normal"/>
    <w:link w:val="Ttulo9Car"/>
    <w:uiPriority w:val="9"/>
    <w:qFormat/>
    <w:rsid w:val="00116D0A"/>
    <w:pPr>
      <w:widowControl/>
      <w:autoSpaceDE/>
      <w:autoSpaceDN/>
      <w:spacing w:before="240" w:after="60" w:line="360" w:lineRule="auto"/>
      <w:ind w:left="1584" w:hanging="1584"/>
      <w:outlineLvl w:val="8"/>
    </w:pPr>
    <w:rPr>
      <w:rFonts w:ascii="Cambria" w:eastAsia="Times New Roman" w:hAnsi="Cambria" w:cs="Times New Roman"/>
      <w:sz w:val="24"/>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line="252" w:lineRule="exact"/>
      <w:ind w:left="701" w:hanging="439"/>
    </w:pPr>
  </w:style>
  <w:style w:type="paragraph" w:styleId="Textoindependiente">
    <w:name w:val="Body Text"/>
    <w:basedOn w:val="Normal"/>
    <w:link w:val="TextoindependienteCar"/>
    <w:uiPriority w:val="1"/>
    <w:qFormat/>
  </w:style>
  <w:style w:type="paragraph" w:styleId="Prrafodelista">
    <w:name w:val="List Paragraph"/>
    <w:basedOn w:val="Normal"/>
    <w:link w:val="PrrafodelistaCar"/>
    <w:uiPriority w:val="1"/>
    <w:qFormat/>
    <w:pPr>
      <w:ind w:left="981"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3688F"/>
    <w:pPr>
      <w:tabs>
        <w:tab w:val="center" w:pos="4419"/>
        <w:tab w:val="right" w:pos="8838"/>
      </w:tabs>
    </w:pPr>
  </w:style>
  <w:style w:type="character" w:customStyle="1" w:styleId="EncabezadoCar">
    <w:name w:val="Encabezado Car"/>
    <w:basedOn w:val="Fuentedeprrafopredeter"/>
    <w:link w:val="Encabezado"/>
    <w:uiPriority w:val="99"/>
    <w:rsid w:val="0063688F"/>
    <w:rPr>
      <w:rFonts w:ascii="Arial MT" w:eastAsia="Arial MT" w:hAnsi="Arial MT" w:cs="Arial MT"/>
      <w:lang w:val="es-ES"/>
    </w:rPr>
  </w:style>
  <w:style w:type="paragraph" w:styleId="Piedepgina">
    <w:name w:val="footer"/>
    <w:basedOn w:val="Normal"/>
    <w:link w:val="PiedepginaCar"/>
    <w:uiPriority w:val="99"/>
    <w:unhideWhenUsed/>
    <w:rsid w:val="0063688F"/>
    <w:pPr>
      <w:tabs>
        <w:tab w:val="center" w:pos="4419"/>
        <w:tab w:val="right" w:pos="8838"/>
      </w:tabs>
    </w:pPr>
  </w:style>
  <w:style w:type="character" w:customStyle="1" w:styleId="PiedepginaCar">
    <w:name w:val="Pie de página Car"/>
    <w:basedOn w:val="Fuentedeprrafopredeter"/>
    <w:link w:val="Piedepgina"/>
    <w:uiPriority w:val="99"/>
    <w:rsid w:val="0063688F"/>
    <w:rPr>
      <w:rFonts w:ascii="Arial MT" w:eastAsia="Arial MT" w:hAnsi="Arial MT" w:cs="Arial MT"/>
      <w:lang w:val="es-ES"/>
    </w:rPr>
  </w:style>
  <w:style w:type="character" w:styleId="Refdecomentario">
    <w:name w:val="annotation reference"/>
    <w:basedOn w:val="Fuentedeprrafopredeter"/>
    <w:uiPriority w:val="99"/>
    <w:unhideWhenUsed/>
    <w:rsid w:val="0063688F"/>
    <w:rPr>
      <w:sz w:val="16"/>
      <w:szCs w:val="16"/>
    </w:rPr>
  </w:style>
  <w:style w:type="paragraph" w:styleId="Textocomentario">
    <w:name w:val="annotation text"/>
    <w:basedOn w:val="Normal"/>
    <w:link w:val="TextocomentarioCar"/>
    <w:uiPriority w:val="99"/>
    <w:unhideWhenUsed/>
    <w:rsid w:val="0063688F"/>
    <w:rPr>
      <w:sz w:val="20"/>
      <w:szCs w:val="20"/>
    </w:rPr>
  </w:style>
  <w:style w:type="character" w:customStyle="1" w:styleId="TextocomentarioCar">
    <w:name w:val="Texto comentario Car"/>
    <w:basedOn w:val="Fuentedeprrafopredeter"/>
    <w:link w:val="Textocomentario"/>
    <w:uiPriority w:val="99"/>
    <w:rsid w:val="0063688F"/>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63688F"/>
    <w:rPr>
      <w:b/>
      <w:bCs/>
    </w:rPr>
  </w:style>
  <w:style w:type="character" w:customStyle="1" w:styleId="AsuntodelcomentarioCar">
    <w:name w:val="Asunto del comentario Car"/>
    <w:basedOn w:val="TextocomentarioCar"/>
    <w:link w:val="Asuntodelcomentario"/>
    <w:uiPriority w:val="99"/>
    <w:semiHidden/>
    <w:rsid w:val="0063688F"/>
    <w:rPr>
      <w:rFonts w:ascii="Arial MT" w:eastAsia="Arial MT" w:hAnsi="Arial MT" w:cs="Arial MT"/>
      <w:b/>
      <w:bCs/>
      <w:sz w:val="20"/>
      <w:szCs w:val="20"/>
      <w:lang w:val="es-ES"/>
    </w:rPr>
  </w:style>
  <w:style w:type="character" w:customStyle="1" w:styleId="Ttulo7Car">
    <w:name w:val="Título 7 Car"/>
    <w:basedOn w:val="Fuentedeprrafopredeter"/>
    <w:link w:val="Ttulo7"/>
    <w:uiPriority w:val="9"/>
    <w:rsid w:val="00CE6834"/>
    <w:rPr>
      <w:rFonts w:asciiTheme="majorHAnsi" w:eastAsiaTheme="majorEastAsia" w:hAnsiTheme="majorHAnsi" w:cstheme="majorBidi"/>
      <w:i/>
      <w:iCs/>
      <w:color w:val="243F60" w:themeColor="accent1" w:themeShade="7F"/>
      <w:lang w:val="es-ES"/>
    </w:rPr>
  </w:style>
  <w:style w:type="character" w:customStyle="1" w:styleId="Ttulo2Car">
    <w:name w:val="Título 2 Car"/>
    <w:basedOn w:val="Fuentedeprrafopredeter"/>
    <w:link w:val="Ttulo2"/>
    <w:uiPriority w:val="9"/>
    <w:rsid w:val="00116D0A"/>
    <w:rPr>
      <w:rFonts w:ascii="Arial Narrow" w:eastAsia="Times New Roman" w:hAnsi="Arial Narrow" w:cs="Times New Roman"/>
      <w:b/>
      <w:bCs/>
      <w:i/>
      <w:iCs/>
      <w:szCs w:val="28"/>
      <w:lang w:val="es-CO" w:eastAsia="es-ES"/>
    </w:rPr>
  </w:style>
  <w:style w:type="character" w:customStyle="1" w:styleId="Ttulo3Car">
    <w:name w:val="Título 3 Car"/>
    <w:basedOn w:val="Fuentedeprrafopredeter"/>
    <w:link w:val="Ttulo3"/>
    <w:uiPriority w:val="9"/>
    <w:rsid w:val="00116D0A"/>
    <w:rPr>
      <w:rFonts w:ascii="Cambria" w:eastAsia="Times New Roman" w:hAnsi="Cambria" w:cs="Times New Roman"/>
      <w:b/>
      <w:bCs/>
      <w:sz w:val="26"/>
      <w:szCs w:val="26"/>
      <w:lang w:val="es-CO" w:eastAsia="es-ES"/>
    </w:rPr>
  </w:style>
  <w:style w:type="character" w:customStyle="1" w:styleId="Ttulo4Car">
    <w:name w:val="Título 4 Car"/>
    <w:basedOn w:val="Fuentedeprrafopredeter"/>
    <w:link w:val="Ttulo4"/>
    <w:uiPriority w:val="9"/>
    <w:rsid w:val="00116D0A"/>
    <w:rPr>
      <w:rFonts w:ascii="Calibri" w:eastAsia="Times New Roman" w:hAnsi="Calibri" w:cs="Times New Roman"/>
      <w:b/>
      <w:bCs/>
      <w:sz w:val="28"/>
      <w:szCs w:val="28"/>
      <w:lang w:val="es-CO" w:eastAsia="es-ES"/>
    </w:rPr>
  </w:style>
  <w:style w:type="character" w:customStyle="1" w:styleId="Ttulo5Car">
    <w:name w:val="Título 5 Car"/>
    <w:basedOn w:val="Fuentedeprrafopredeter"/>
    <w:link w:val="Ttulo5"/>
    <w:uiPriority w:val="9"/>
    <w:rsid w:val="00116D0A"/>
    <w:rPr>
      <w:rFonts w:ascii="Calibri" w:eastAsia="Times New Roman" w:hAnsi="Calibri" w:cs="Times New Roman"/>
      <w:b/>
      <w:bCs/>
      <w:i/>
      <w:iCs/>
      <w:sz w:val="26"/>
      <w:szCs w:val="26"/>
      <w:lang w:val="es-CO" w:eastAsia="es-ES"/>
    </w:rPr>
  </w:style>
  <w:style w:type="character" w:customStyle="1" w:styleId="Ttulo6Car">
    <w:name w:val="Título 6 Car"/>
    <w:basedOn w:val="Fuentedeprrafopredeter"/>
    <w:link w:val="Ttulo6"/>
    <w:uiPriority w:val="9"/>
    <w:rsid w:val="00116D0A"/>
    <w:rPr>
      <w:rFonts w:ascii="Calibri" w:eastAsia="Times New Roman" w:hAnsi="Calibri" w:cs="Times New Roman"/>
      <w:b/>
      <w:bCs/>
      <w:sz w:val="24"/>
      <w:szCs w:val="20"/>
      <w:lang w:val="es-CO" w:eastAsia="es-ES"/>
    </w:rPr>
  </w:style>
  <w:style w:type="character" w:customStyle="1" w:styleId="Ttulo8Car">
    <w:name w:val="Título 8 Car"/>
    <w:basedOn w:val="Fuentedeprrafopredeter"/>
    <w:link w:val="Ttulo8"/>
    <w:uiPriority w:val="9"/>
    <w:rsid w:val="00116D0A"/>
    <w:rPr>
      <w:rFonts w:ascii="Calibri" w:eastAsia="Times New Roman" w:hAnsi="Calibri" w:cs="Times New Roman"/>
      <w:i/>
      <w:iCs/>
      <w:sz w:val="24"/>
      <w:szCs w:val="24"/>
      <w:lang w:val="es-CO" w:eastAsia="es-ES"/>
    </w:rPr>
  </w:style>
  <w:style w:type="character" w:customStyle="1" w:styleId="Ttulo9Car">
    <w:name w:val="Título 9 Car"/>
    <w:basedOn w:val="Fuentedeprrafopredeter"/>
    <w:link w:val="Ttulo9"/>
    <w:uiPriority w:val="9"/>
    <w:rsid w:val="00116D0A"/>
    <w:rPr>
      <w:rFonts w:ascii="Cambria" w:eastAsia="Times New Roman" w:hAnsi="Cambria" w:cs="Times New Roman"/>
      <w:sz w:val="24"/>
      <w:szCs w:val="20"/>
      <w:lang w:val="es-CO" w:eastAsia="es-ES"/>
    </w:rPr>
  </w:style>
  <w:style w:type="character" w:customStyle="1" w:styleId="Ttulo1Car">
    <w:name w:val="Título 1 Car"/>
    <w:link w:val="Ttulo1"/>
    <w:uiPriority w:val="9"/>
    <w:locked/>
    <w:rsid w:val="00116D0A"/>
    <w:rPr>
      <w:rFonts w:ascii="Arial" w:eastAsia="Arial" w:hAnsi="Arial" w:cs="Arial"/>
      <w:b/>
      <w:bCs/>
      <w:lang w:val="es-ES"/>
    </w:rPr>
  </w:style>
  <w:style w:type="paragraph" w:customStyle="1" w:styleId="Sangra2detindependiente1">
    <w:name w:val="Sangría 2 de t.independiente1"/>
    <w:basedOn w:val="Normal"/>
    <w:uiPriority w:val="99"/>
    <w:rsid w:val="00116D0A"/>
    <w:pPr>
      <w:widowControl/>
      <w:autoSpaceDE/>
      <w:autoSpaceDN/>
      <w:spacing w:before="240" w:after="240" w:line="360" w:lineRule="auto"/>
      <w:ind w:left="360"/>
    </w:pPr>
    <w:rPr>
      <w:rFonts w:ascii="Arial" w:eastAsia="Times New Roman" w:hAnsi="Arial" w:cs="Times New Roman"/>
      <w:sz w:val="24"/>
      <w:szCs w:val="20"/>
      <w:lang w:val="es-MX" w:eastAsia="es-ES"/>
    </w:rPr>
  </w:style>
  <w:style w:type="table" w:styleId="Tablaconcuadrcula">
    <w:name w:val="Table Grid"/>
    <w:basedOn w:val="Tablanormal"/>
    <w:uiPriority w:val="39"/>
    <w:rsid w:val="00116D0A"/>
    <w:pPr>
      <w:widowControl/>
      <w:autoSpaceDE/>
      <w:autoSpaceDN/>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rsid w:val="00116D0A"/>
    <w:rPr>
      <w:rFonts w:cs="Times New Roman"/>
    </w:rPr>
  </w:style>
  <w:style w:type="paragraph" w:customStyle="1" w:styleId="Standard">
    <w:name w:val="Standard"/>
    <w:rsid w:val="00116D0A"/>
    <w:pPr>
      <w:widowControl/>
      <w:suppressAutoHyphens/>
      <w:autoSpaceDE/>
      <w:textAlignment w:val="baseline"/>
    </w:pPr>
    <w:rPr>
      <w:rFonts w:ascii="Verdana" w:eastAsia="Times New Roman" w:hAnsi="Verdana" w:cs="Verdana"/>
      <w:kern w:val="3"/>
      <w:lang w:val="es-ES" w:eastAsia="es-CO"/>
    </w:rPr>
  </w:style>
  <w:style w:type="paragraph" w:styleId="NormalWeb">
    <w:name w:val="Normal (Web)"/>
    <w:basedOn w:val="Normal"/>
    <w:uiPriority w:val="99"/>
    <w:rsid w:val="00116D0A"/>
    <w:pPr>
      <w:widowControl/>
      <w:autoSpaceDE/>
      <w:autoSpaceDN/>
      <w:spacing w:before="100" w:beforeAutospacing="1" w:after="100" w:afterAutospacing="1" w:line="360" w:lineRule="auto"/>
    </w:pPr>
    <w:rPr>
      <w:rFonts w:ascii="Tahoma" w:eastAsia="Times New Roman" w:hAnsi="Tahoma" w:cs="Times New Roman"/>
      <w:sz w:val="24"/>
      <w:szCs w:val="24"/>
      <w:lang w:val="es-CO" w:eastAsia="es-CO"/>
    </w:rPr>
  </w:style>
  <w:style w:type="character" w:styleId="Hipervnculo">
    <w:name w:val="Hyperlink"/>
    <w:uiPriority w:val="99"/>
    <w:rsid w:val="00116D0A"/>
    <w:rPr>
      <w:rFonts w:cs="Times New Roman"/>
      <w:color w:val="0000FF"/>
      <w:u w:val="single"/>
    </w:rPr>
  </w:style>
  <w:style w:type="character" w:customStyle="1" w:styleId="apple-style-span">
    <w:name w:val="apple-style-span"/>
    <w:uiPriority w:val="99"/>
    <w:rsid w:val="00116D0A"/>
    <w:rPr>
      <w:rFonts w:cs="Times New Roman"/>
    </w:rPr>
  </w:style>
  <w:style w:type="character" w:customStyle="1" w:styleId="apple-converted-space">
    <w:name w:val="apple-converted-space"/>
    <w:rsid w:val="00116D0A"/>
    <w:rPr>
      <w:rFonts w:cs="Times New Roman"/>
    </w:rPr>
  </w:style>
  <w:style w:type="paragraph" w:styleId="Textodeglobo">
    <w:name w:val="Balloon Text"/>
    <w:basedOn w:val="Normal"/>
    <w:link w:val="TextodegloboCar"/>
    <w:uiPriority w:val="99"/>
    <w:semiHidden/>
    <w:unhideWhenUsed/>
    <w:rsid w:val="00116D0A"/>
    <w:pPr>
      <w:widowControl/>
      <w:autoSpaceDE/>
      <w:autoSpaceDN/>
      <w:spacing w:before="240" w:after="240" w:line="360" w:lineRule="auto"/>
    </w:pPr>
    <w:rPr>
      <w:rFonts w:ascii="Tahoma" w:eastAsia="Times New Roman" w:hAnsi="Tahoma" w:cs="Times New Roman"/>
      <w:sz w:val="16"/>
      <w:szCs w:val="16"/>
      <w:lang w:val="x-none" w:eastAsia="x-none"/>
    </w:rPr>
  </w:style>
  <w:style w:type="character" w:customStyle="1" w:styleId="TextodegloboCar">
    <w:name w:val="Texto de globo Car"/>
    <w:basedOn w:val="Fuentedeprrafopredeter"/>
    <w:link w:val="Textodeglobo"/>
    <w:uiPriority w:val="99"/>
    <w:semiHidden/>
    <w:rsid w:val="00116D0A"/>
    <w:rPr>
      <w:rFonts w:ascii="Tahoma" w:eastAsia="Times New Roman" w:hAnsi="Tahoma" w:cs="Times New Roman"/>
      <w:sz w:val="16"/>
      <w:szCs w:val="16"/>
      <w:lang w:val="x-none" w:eastAsia="x-none"/>
    </w:rPr>
  </w:style>
  <w:style w:type="paragraph" w:styleId="Revisin">
    <w:name w:val="Revision"/>
    <w:hidden/>
    <w:uiPriority w:val="99"/>
    <w:semiHidden/>
    <w:rsid w:val="00116D0A"/>
    <w:pPr>
      <w:widowControl/>
      <w:autoSpaceDE/>
      <w:autoSpaceDN/>
    </w:pPr>
    <w:rPr>
      <w:rFonts w:ascii="Times New Roman" w:eastAsia="Times New Roman" w:hAnsi="Times New Roman" w:cs="Times New Roman"/>
      <w:sz w:val="20"/>
      <w:szCs w:val="20"/>
      <w:lang w:val="es-ES" w:eastAsia="es-ES"/>
    </w:rPr>
  </w:style>
  <w:style w:type="paragraph" w:customStyle="1" w:styleId="Cuerpo">
    <w:name w:val="Cuerpo"/>
    <w:rsid w:val="00116D0A"/>
    <w:pPr>
      <w:widowControl/>
      <w:pBdr>
        <w:top w:val="nil"/>
        <w:left w:val="nil"/>
        <w:bottom w:val="nil"/>
        <w:right w:val="nil"/>
        <w:between w:val="nil"/>
        <w:bar w:val="nil"/>
      </w:pBdr>
      <w:autoSpaceDE/>
      <w:autoSpaceDN/>
    </w:pPr>
    <w:rPr>
      <w:rFonts w:ascii="Cambria" w:eastAsia="Cambria" w:hAnsi="Cambria" w:cs="Cambria"/>
      <w:color w:val="000000"/>
      <w:sz w:val="24"/>
      <w:szCs w:val="24"/>
      <w:u w:color="000000"/>
      <w:bdr w:val="nil"/>
      <w:lang w:val="es-CO" w:eastAsia="es-CO"/>
    </w:rPr>
  </w:style>
  <w:style w:type="character" w:customStyle="1" w:styleId="uxksbf">
    <w:name w:val="uxksbf"/>
    <w:rsid w:val="00116D0A"/>
  </w:style>
  <w:style w:type="paragraph" w:styleId="Sinespaciado">
    <w:name w:val="No Spacing"/>
    <w:link w:val="SinespaciadoCar"/>
    <w:uiPriority w:val="1"/>
    <w:qFormat/>
    <w:rsid w:val="00116D0A"/>
    <w:pPr>
      <w:widowControl/>
      <w:autoSpaceDE/>
      <w:autoSpaceDN/>
    </w:pPr>
    <w:rPr>
      <w:rFonts w:ascii="Times New Roman" w:eastAsia="Times New Roman" w:hAnsi="Times New Roman" w:cs="Times New Roman"/>
      <w:sz w:val="20"/>
      <w:szCs w:val="20"/>
      <w:lang w:val="es-ES" w:eastAsia="es-ES"/>
    </w:rPr>
  </w:style>
  <w:style w:type="paragraph" w:styleId="Textonotapie">
    <w:name w:val="footnote text"/>
    <w:basedOn w:val="Normal"/>
    <w:link w:val="TextonotapieCar"/>
    <w:uiPriority w:val="99"/>
    <w:unhideWhenUsed/>
    <w:rsid w:val="00116D0A"/>
    <w:pPr>
      <w:widowControl/>
      <w:autoSpaceDE/>
      <w:autoSpaceDN/>
      <w:spacing w:before="240" w:after="240" w:line="360" w:lineRule="auto"/>
    </w:pPr>
    <w:rPr>
      <w:rFonts w:ascii="Tahoma" w:eastAsia="Times New Roman" w:hAnsi="Tahoma" w:cs="Times New Roman"/>
      <w:sz w:val="24"/>
      <w:szCs w:val="20"/>
      <w:lang w:val="es-CO" w:eastAsia="es-ES"/>
    </w:rPr>
  </w:style>
  <w:style w:type="character" w:customStyle="1" w:styleId="TextonotapieCar">
    <w:name w:val="Texto nota pie Car"/>
    <w:basedOn w:val="Fuentedeprrafopredeter"/>
    <w:link w:val="Textonotapie"/>
    <w:uiPriority w:val="99"/>
    <w:rsid w:val="00116D0A"/>
    <w:rPr>
      <w:rFonts w:ascii="Tahoma" w:eastAsia="Times New Roman" w:hAnsi="Tahoma" w:cs="Times New Roman"/>
      <w:sz w:val="24"/>
      <w:szCs w:val="20"/>
      <w:lang w:val="es-CO" w:eastAsia="es-ES"/>
    </w:rPr>
  </w:style>
  <w:style w:type="character" w:styleId="Refdenotaalpie">
    <w:name w:val="footnote reference"/>
    <w:aliases w:val="ftref,referencia nota al pie,Texto de nota al pie,Nota de pie,Texto nota al pie,Appel note de bas de page"/>
    <w:uiPriority w:val="99"/>
    <w:unhideWhenUsed/>
    <w:rsid w:val="00116D0A"/>
    <w:rPr>
      <w:vertAlign w:val="superscript"/>
    </w:rPr>
  </w:style>
  <w:style w:type="character" w:customStyle="1" w:styleId="SinespaciadoCar">
    <w:name w:val="Sin espaciado Car"/>
    <w:link w:val="Sinespaciado"/>
    <w:uiPriority w:val="1"/>
    <w:rsid w:val="00116D0A"/>
    <w:rPr>
      <w:rFonts w:ascii="Times New Roman" w:eastAsia="Times New Roman" w:hAnsi="Times New Roman" w:cs="Times New Roman"/>
      <w:sz w:val="20"/>
      <w:szCs w:val="20"/>
      <w:lang w:val="es-ES" w:eastAsia="es-ES"/>
    </w:rPr>
  </w:style>
  <w:style w:type="paragraph" w:styleId="TtuloTDC">
    <w:name w:val="TOC Heading"/>
    <w:basedOn w:val="Ttulo1"/>
    <w:next w:val="Normal"/>
    <w:uiPriority w:val="39"/>
    <w:unhideWhenUsed/>
    <w:qFormat/>
    <w:rsid w:val="00116D0A"/>
    <w:pPr>
      <w:keepNext/>
      <w:keepLines/>
      <w:widowControl/>
      <w:autoSpaceDE/>
      <w:autoSpaceDN/>
      <w:spacing w:before="240" w:after="240" w:line="259" w:lineRule="auto"/>
      <w:ind w:left="0" w:firstLine="0"/>
      <w:outlineLvl w:val="9"/>
    </w:pPr>
    <w:rPr>
      <w:rFonts w:ascii="Calibri Light" w:eastAsia="Tahoma" w:hAnsi="Calibri Light" w:cs="Tahoma"/>
      <w:b w:val="0"/>
      <w:bCs w:val="0"/>
      <w:color w:val="2E74B5"/>
      <w:sz w:val="32"/>
      <w:szCs w:val="24"/>
      <w:lang w:val="es-CO" w:eastAsia="es-CO"/>
    </w:rPr>
  </w:style>
  <w:style w:type="paragraph" w:styleId="TDC2">
    <w:name w:val="toc 2"/>
    <w:basedOn w:val="Normal"/>
    <w:next w:val="Normal"/>
    <w:autoRedefine/>
    <w:uiPriority w:val="39"/>
    <w:unhideWhenUsed/>
    <w:qFormat/>
    <w:rsid w:val="00116D0A"/>
    <w:pPr>
      <w:widowControl/>
      <w:autoSpaceDE/>
      <w:autoSpaceDN/>
      <w:spacing w:before="240" w:after="240" w:line="360" w:lineRule="auto"/>
      <w:ind w:left="200"/>
    </w:pPr>
    <w:rPr>
      <w:rFonts w:ascii="Tahoma" w:eastAsia="Times New Roman" w:hAnsi="Tahoma" w:cs="Times New Roman"/>
      <w:sz w:val="24"/>
      <w:szCs w:val="20"/>
      <w:lang w:val="es-CO" w:eastAsia="es-ES"/>
    </w:rPr>
  </w:style>
  <w:style w:type="paragraph" w:customStyle="1" w:styleId="Default">
    <w:name w:val="Default"/>
    <w:rsid w:val="00116D0A"/>
    <w:pPr>
      <w:widowControl/>
      <w:adjustRightInd w:val="0"/>
    </w:pPr>
    <w:rPr>
      <w:rFonts w:ascii="Arial" w:eastAsia="Times New Roman" w:hAnsi="Arial" w:cs="Arial"/>
      <w:color w:val="000000"/>
      <w:sz w:val="24"/>
      <w:szCs w:val="24"/>
      <w:lang w:val="es-ES" w:eastAsia="es-ES"/>
    </w:rPr>
  </w:style>
  <w:style w:type="paragraph" w:styleId="Subttulo">
    <w:name w:val="Subtitle"/>
    <w:basedOn w:val="Normal"/>
    <w:next w:val="Normal"/>
    <w:link w:val="SubttuloCar"/>
    <w:uiPriority w:val="11"/>
    <w:qFormat/>
    <w:rsid w:val="00116D0A"/>
    <w:pPr>
      <w:widowControl/>
      <w:numPr>
        <w:numId w:val="2"/>
      </w:numPr>
      <w:autoSpaceDE/>
      <w:autoSpaceDN/>
      <w:spacing w:before="240" w:after="60" w:line="360" w:lineRule="auto"/>
      <w:outlineLvl w:val="1"/>
    </w:pPr>
    <w:rPr>
      <w:rFonts w:ascii="Tahoma" w:eastAsia="Times New Roman" w:hAnsi="Tahoma" w:cs="Times New Roman"/>
      <w:b/>
      <w:sz w:val="24"/>
      <w:szCs w:val="24"/>
      <w:lang w:val="es-CO" w:eastAsia="es-ES"/>
    </w:rPr>
  </w:style>
  <w:style w:type="character" w:customStyle="1" w:styleId="SubttuloCar">
    <w:name w:val="Subtítulo Car"/>
    <w:basedOn w:val="Fuentedeprrafopredeter"/>
    <w:link w:val="Subttulo"/>
    <w:uiPriority w:val="11"/>
    <w:rsid w:val="00116D0A"/>
    <w:rPr>
      <w:rFonts w:ascii="Tahoma" w:eastAsia="Times New Roman" w:hAnsi="Tahoma" w:cs="Times New Roman"/>
      <w:b/>
      <w:sz w:val="24"/>
      <w:szCs w:val="24"/>
      <w:lang w:val="es-CO" w:eastAsia="es-ES"/>
    </w:rPr>
  </w:style>
  <w:style w:type="paragraph" w:styleId="Ttulo">
    <w:name w:val="Title"/>
    <w:basedOn w:val="Normal"/>
    <w:next w:val="Normal"/>
    <w:link w:val="TtuloCar"/>
    <w:uiPriority w:val="10"/>
    <w:qFormat/>
    <w:rsid w:val="00116D0A"/>
    <w:pPr>
      <w:widowControl/>
      <w:pBdr>
        <w:bottom w:val="single" w:sz="8" w:space="4" w:color="D8D8D8"/>
      </w:pBdr>
      <w:autoSpaceDE/>
      <w:autoSpaceDN/>
      <w:spacing w:before="240" w:after="300" w:line="360" w:lineRule="auto"/>
      <w:contextualSpacing/>
    </w:pPr>
    <w:rPr>
      <w:rFonts w:ascii="Cambria" w:eastAsia="Times New Roman" w:hAnsi="Cambria" w:cs="Times New Roman"/>
      <w:color w:val="000000"/>
      <w:spacing w:val="5"/>
      <w:kern w:val="28"/>
      <w:sz w:val="52"/>
      <w:szCs w:val="52"/>
      <w:lang w:val="x-none" w:eastAsia="x-none"/>
    </w:rPr>
  </w:style>
  <w:style w:type="character" w:customStyle="1" w:styleId="TtuloCar">
    <w:name w:val="Título Car"/>
    <w:basedOn w:val="Fuentedeprrafopredeter"/>
    <w:link w:val="Ttulo"/>
    <w:uiPriority w:val="10"/>
    <w:rsid w:val="00116D0A"/>
    <w:rPr>
      <w:rFonts w:ascii="Cambria" w:eastAsia="Times New Roman" w:hAnsi="Cambria" w:cs="Times New Roman"/>
      <w:color w:val="000000"/>
      <w:spacing w:val="5"/>
      <w:kern w:val="28"/>
      <w:sz w:val="52"/>
      <w:szCs w:val="52"/>
      <w:lang w:val="x-none" w:eastAsia="x-none"/>
    </w:rPr>
  </w:style>
  <w:style w:type="character" w:customStyle="1" w:styleId="Listavistosa-nfasis1Car">
    <w:name w:val="Lista vistosa - Énfasis 1 Car"/>
    <w:link w:val="Listavistosa-nfasis1"/>
    <w:uiPriority w:val="34"/>
    <w:semiHidden/>
    <w:locked/>
    <w:rsid w:val="00116D0A"/>
    <w:rPr>
      <w:rFonts w:eastAsia="Times New Roman"/>
      <w:sz w:val="22"/>
      <w:szCs w:val="22"/>
      <w:lang w:val="es-CO" w:eastAsia="es-CO"/>
    </w:rPr>
  </w:style>
  <w:style w:type="table" w:customStyle="1" w:styleId="Tablaconcuadrcula4-nfasis21">
    <w:name w:val="Tabla con cuadrícula 4 - Énfasis 21"/>
    <w:basedOn w:val="Tablanormal"/>
    <w:uiPriority w:val="47"/>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GridTable4Accent21">
    <w:name w:val="Grid Table 4 Accent 21"/>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GridTable4Accent22">
    <w:name w:val="Grid Table 4 Accent 22"/>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GridTable4Accent23">
    <w:name w:val="Grid Table 4 Accent 23"/>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GridTable4Accent24">
    <w:name w:val="Grid Table 4 Accent 24"/>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paragraph" w:customStyle="1" w:styleId="Ttulo3CarCar1">
    <w:name w:val="Título 3 Car Car1"/>
    <w:basedOn w:val="Normal"/>
    <w:next w:val="Normal"/>
    <w:autoRedefine/>
    <w:unhideWhenUsed/>
    <w:qFormat/>
    <w:rsid w:val="00116D0A"/>
    <w:pPr>
      <w:keepNext/>
      <w:keepLines/>
      <w:widowControl/>
      <w:autoSpaceDE/>
      <w:autoSpaceDN/>
      <w:spacing w:before="360" w:after="360" w:line="480" w:lineRule="auto"/>
      <w:outlineLvl w:val="2"/>
    </w:pPr>
    <w:rPr>
      <w:rFonts w:ascii="Tahoma" w:eastAsia="MS Mincho" w:hAnsi="Tahoma" w:cs="Times New Roman"/>
      <w:b/>
      <w:sz w:val="24"/>
      <w:szCs w:val="24"/>
      <w:lang w:val="es-CO"/>
    </w:rPr>
  </w:style>
  <w:style w:type="paragraph" w:styleId="Listaconvietas">
    <w:name w:val="List Bullet"/>
    <w:basedOn w:val="Normal"/>
    <w:uiPriority w:val="99"/>
    <w:unhideWhenUsed/>
    <w:rsid w:val="00116D0A"/>
    <w:pPr>
      <w:widowControl/>
      <w:numPr>
        <w:numId w:val="1"/>
      </w:numPr>
      <w:autoSpaceDE/>
      <w:autoSpaceDN/>
      <w:spacing w:before="240" w:after="160" w:line="259" w:lineRule="auto"/>
      <w:contextualSpacing/>
    </w:pPr>
    <w:rPr>
      <w:rFonts w:asciiTheme="minorHAnsi" w:eastAsiaTheme="minorEastAsia" w:hAnsiTheme="minorHAnsi" w:cstheme="minorBidi"/>
      <w:lang w:val="es-CO" w:eastAsia="es-CO"/>
    </w:rPr>
  </w:style>
  <w:style w:type="paragraph" w:customStyle="1" w:styleId="Nombre">
    <w:name w:val="Nombre"/>
    <w:basedOn w:val="Normal"/>
    <w:uiPriority w:val="3"/>
    <w:qFormat/>
    <w:rsid w:val="00116D0A"/>
    <w:pPr>
      <w:widowControl/>
      <w:autoSpaceDE/>
      <w:autoSpaceDN/>
      <w:spacing w:before="240" w:after="240" w:line="360" w:lineRule="auto"/>
      <w:jc w:val="right"/>
    </w:pPr>
    <w:rPr>
      <w:rFonts w:ascii="Calibri" w:eastAsia="MS Mincho" w:hAnsi="Calibri" w:cs="Times New Roman"/>
      <w:b/>
      <w:color w:val="082A75"/>
      <w:sz w:val="28"/>
      <w:lang w:val="es-CO"/>
    </w:rPr>
  </w:style>
  <w:style w:type="table" w:customStyle="1" w:styleId="Tablaconcuadrcula1">
    <w:name w:val="Tabla con cuadrícula1"/>
    <w:basedOn w:val="Tablanormal"/>
    <w:next w:val="Tablaconcuadrcula"/>
    <w:uiPriority w:val="39"/>
    <w:rsid w:val="00116D0A"/>
    <w:pPr>
      <w:widowControl/>
      <w:autoSpaceDE/>
      <w:autoSpaceDN/>
    </w:pPr>
    <w:rPr>
      <w:rFonts w:ascii="Calibri" w:eastAsia="Calibri" w:hAnsi="Calibri" w:cs="Times New Roman"/>
      <w:sz w:val="24"/>
      <w:szCs w:val="24"/>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ido">
    <w:name w:val="Contenido"/>
    <w:basedOn w:val="Normal"/>
    <w:link w:val="Carcterdecontenido"/>
    <w:qFormat/>
    <w:rsid w:val="00116D0A"/>
    <w:pPr>
      <w:widowControl/>
      <w:autoSpaceDE/>
      <w:autoSpaceDN/>
      <w:spacing w:before="240" w:after="240" w:line="276" w:lineRule="auto"/>
    </w:pPr>
    <w:rPr>
      <w:rFonts w:ascii="Calibri" w:eastAsia="MS Mincho" w:hAnsi="Calibri" w:cs="Times New Roman"/>
      <w:color w:val="082A75"/>
      <w:sz w:val="28"/>
      <w:lang w:val="es-CO"/>
    </w:rPr>
  </w:style>
  <w:style w:type="character" w:customStyle="1" w:styleId="Carcterdecontenido">
    <w:name w:val="Carácter de contenido"/>
    <w:link w:val="Contenido"/>
    <w:rsid w:val="00116D0A"/>
    <w:rPr>
      <w:rFonts w:ascii="Calibri" w:eastAsia="MS Mincho" w:hAnsi="Calibri" w:cs="Times New Roman"/>
      <w:color w:val="082A75"/>
      <w:sz w:val="28"/>
      <w:lang w:val="es-CO"/>
    </w:rPr>
  </w:style>
  <w:style w:type="paragraph" w:customStyle="1" w:styleId="Textodestacado">
    <w:name w:val="Texto destacado"/>
    <w:basedOn w:val="Normal"/>
    <w:link w:val="Carcterdetextodestacado"/>
    <w:qFormat/>
    <w:rsid w:val="00116D0A"/>
    <w:pPr>
      <w:widowControl/>
      <w:autoSpaceDE/>
      <w:autoSpaceDN/>
      <w:spacing w:before="240" w:after="240" w:line="276" w:lineRule="auto"/>
    </w:pPr>
    <w:rPr>
      <w:rFonts w:ascii="Calibri" w:eastAsia="MS Mincho" w:hAnsi="Calibri" w:cs="Times New Roman"/>
      <w:b/>
      <w:color w:val="082A75"/>
      <w:sz w:val="28"/>
      <w:lang w:val="es-CO"/>
    </w:rPr>
  </w:style>
  <w:style w:type="character" w:customStyle="1" w:styleId="Carcterdetextodestacado">
    <w:name w:val="Carácter de texto destacado"/>
    <w:link w:val="Textodestacado"/>
    <w:rsid w:val="00116D0A"/>
    <w:rPr>
      <w:rFonts w:ascii="Calibri" w:eastAsia="MS Mincho" w:hAnsi="Calibri" w:cs="Times New Roman"/>
      <w:b/>
      <w:color w:val="082A75"/>
      <w:sz w:val="28"/>
      <w:lang w:val="es-CO"/>
    </w:rPr>
  </w:style>
  <w:style w:type="paragraph" w:customStyle="1" w:styleId="xl38">
    <w:name w:val="xl38"/>
    <w:basedOn w:val="Normal"/>
    <w:rsid w:val="00116D0A"/>
    <w:pPr>
      <w:widowControl/>
      <w:pBdr>
        <w:bottom w:val="single" w:sz="4" w:space="0" w:color="000000"/>
      </w:pBdr>
      <w:autoSpaceDE/>
      <w:autoSpaceDN/>
      <w:spacing w:before="100" w:beforeAutospacing="1" w:after="100" w:afterAutospacing="1" w:line="360" w:lineRule="auto"/>
      <w:textAlignment w:val="top"/>
    </w:pPr>
    <w:rPr>
      <w:rFonts w:ascii="Arial Unicode MS" w:eastAsia="Arial Black" w:hAnsi="Arial Unicode MS" w:cs="Arial Black"/>
      <w:b/>
      <w:bCs/>
      <w:sz w:val="24"/>
      <w:szCs w:val="24"/>
      <w:lang w:val="es-CO" w:eastAsia="es-ES"/>
    </w:rPr>
  </w:style>
  <w:style w:type="paragraph" w:styleId="TDC3">
    <w:name w:val="toc 3"/>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smallCaps/>
      <w:lang w:val="es-CO" w:eastAsia="es-ES"/>
    </w:rPr>
  </w:style>
  <w:style w:type="paragraph" w:styleId="TDC4">
    <w:name w:val="toc 4"/>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lang w:val="es-CO" w:eastAsia="es-ES"/>
    </w:rPr>
  </w:style>
  <w:style w:type="paragraph" w:styleId="TDC5">
    <w:name w:val="toc 5"/>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lang w:val="es-CO" w:eastAsia="es-ES"/>
    </w:rPr>
  </w:style>
  <w:style w:type="paragraph" w:styleId="TDC6">
    <w:name w:val="toc 6"/>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lang w:val="es-CO" w:eastAsia="es-ES"/>
    </w:rPr>
  </w:style>
  <w:style w:type="paragraph" w:styleId="TDC7">
    <w:name w:val="toc 7"/>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lang w:val="es-CO" w:eastAsia="es-ES"/>
    </w:rPr>
  </w:style>
  <w:style w:type="paragraph" w:styleId="TDC8">
    <w:name w:val="toc 8"/>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lang w:val="es-CO" w:eastAsia="es-ES"/>
    </w:rPr>
  </w:style>
  <w:style w:type="paragraph" w:styleId="TDC9">
    <w:name w:val="toc 9"/>
    <w:basedOn w:val="Normal"/>
    <w:next w:val="Normal"/>
    <w:autoRedefine/>
    <w:uiPriority w:val="39"/>
    <w:unhideWhenUsed/>
    <w:rsid w:val="00116D0A"/>
    <w:pPr>
      <w:widowControl/>
      <w:autoSpaceDE/>
      <w:autoSpaceDN/>
      <w:spacing w:before="240" w:after="240" w:line="360" w:lineRule="auto"/>
    </w:pPr>
    <w:rPr>
      <w:rFonts w:ascii="Symbol" w:eastAsia="Cambria Math" w:hAnsi="Symbol" w:cs="Cambria Math"/>
      <w:lang w:val="es-CO" w:eastAsia="es-ES"/>
    </w:rPr>
  </w:style>
  <w:style w:type="paragraph" w:customStyle="1" w:styleId="Tabla">
    <w:name w:val="Tabla"/>
    <w:basedOn w:val="Normal"/>
    <w:next w:val="Normal"/>
    <w:autoRedefine/>
    <w:qFormat/>
    <w:rsid w:val="00116D0A"/>
    <w:pPr>
      <w:keepNext/>
      <w:keepLines/>
      <w:widowControl/>
      <w:autoSpaceDE/>
      <w:autoSpaceDN/>
      <w:spacing w:before="240" w:after="240" w:line="360" w:lineRule="auto"/>
    </w:pPr>
    <w:rPr>
      <w:rFonts w:ascii="Calibri" w:eastAsia="Arial Bold" w:hAnsi="Calibri" w:cs="Arial"/>
      <w:b/>
      <w:color w:val="000000"/>
      <w:sz w:val="18"/>
      <w:szCs w:val="18"/>
      <w:u w:color="000000"/>
      <w:bdr w:val="nil"/>
      <w:lang w:val="es-CO"/>
    </w:rPr>
  </w:style>
  <w:style w:type="table" w:customStyle="1" w:styleId="Tablaconcuadrcula11">
    <w:name w:val="Tabla con cuadrícula11"/>
    <w:basedOn w:val="Tablanormal"/>
    <w:next w:val="Tablaconcuadrcula"/>
    <w:uiPriority w:val="59"/>
    <w:rsid w:val="00116D0A"/>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5">
    <w:name w:val="Grid Table 4 Accent 25"/>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concuadrcula4-nfasis41">
    <w:name w:val="Tabla con cuadrícula 4 - Énfasis 41"/>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A3D0DF"/>
        <w:left w:val="single" w:sz="4" w:space="0" w:color="A3D0DF"/>
        <w:bottom w:val="single" w:sz="4" w:space="0" w:color="A3D0DF"/>
        <w:right w:val="single" w:sz="4" w:space="0" w:color="A3D0DF"/>
        <w:insideH w:val="single" w:sz="4" w:space="0" w:color="A3D0DF"/>
        <w:insideV w:val="single" w:sz="4" w:space="0" w:color="A3D0DF"/>
      </w:tblBorders>
    </w:tblPr>
    <w:tblStylePr w:type="firstRow">
      <w:rPr>
        <w:b/>
        <w:bCs/>
        <w:color w:val="FFFFFF"/>
      </w:rPr>
      <w:tblPr/>
      <w:tcPr>
        <w:tcBorders>
          <w:top w:val="single" w:sz="4" w:space="0" w:color="66B2CA"/>
          <w:left w:val="single" w:sz="4" w:space="0" w:color="66B2CA"/>
          <w:bottom w:val="single" w:sz="4" w:space="0" w:color="66B2CA"/>
          <w:right w:val="single" w:sz="4" w:space="0" w:color="66B2CA"/>
          <w:insideH w:val="nil"/>
          <w:insideV w:val="nil"/>
        </w:tcBorders>
        <w:shd w:val="clear" w:color="auto" w:fill="66B2CA"/>
      </w:tcPr>
    </w:tblStylePr>
    <w:tblStylePr w:type="lastRow">
      <w:rPr>
        <w:b/>
        <w:bCs/>
      </w:rPr>
      <w:tblPr/>
      <w:tcPr>
        <w:tcBorders>
          <w:top w:val="double" w:sz="4" w:space="0" w:color="66B2CA"/>
        </w:tcBorders>
      </w:tcPr>
    </w:tblStylePr>
    <w:tblStylePr w:type="firstCol">
      <w:rPr>
        <w:b/>
        <w:bCs/>
      </w:rPr>
    </w:tblStylePr>
    <w:tblStylePr w:type="lastCol">
      <w:rPr>
        <w:b/>
        <w:bCs/>
      </w:rPr>
    </w:tblStylePr>
    <w:tblStylePr w:type="band1Vert">
      <w:tblPr/>
      <w:tcPr>
        <w:shd w:val="clear" w:color="auto" w:fill="E0EFF4"/>
      </w:tcPr>
    </w:tblStylePr>
    <w:tblStylePr w:type="band1Horz">
      <w:tblPr/>
      <w:tcPr>
        <w:shd w:val="clear" w:color="auto" w:fill="E0EFF4"/>
      </w:tcPr>
    </w:tblStylePr>
  </w:style>
  <w:style w:type="table" w:customStyle="1" w:styleId="Tablaconcuadrcula4-nfasis11">
    <w:name w:val="Tabla con cuadrícula 4 - Énfasis 11"/>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18AFFB"/>
        <w:left w:val="single" w:sz="4" w:space="0" w:color="18AFFB"/>
        <w:bottom w:val="single" w:sz="4" w:space="0" w:color="18AFFB"/>
        <w:right w:val="single" w:sz="4" w:space="0" w:color="18AFFB"/>
        <w:insideH w:val="single" w:sz="4" w:space="0" w:color="18AFFB"/>
        <w:insideV w:val="single" w:sz="4" w:space="0" w:color="18AFFB"/>
      </w:tblBorders>
    </w:tblPr>
    <w:tblStylePr w:type="firstRow">
      <w:rPr>
        <w:b/>
        <w:bCs/>
        <w:color w:val="FFFFFF"/>
      </w:rPr>
      <w:tblPr/>
      <w:tcPr>
        <w:tcBorders>
          <w:top w:val="single" w:sz="4" w:space="0" w:color="024F75"/>
          <w:left w:val="single" w:sz="4" w:space="0" w:color="024F75"/>
          <w:bottom w:val="single" w:sz="4" w:space="0" w:color="024F75"/>
          <w:right w:val="single" w:sz="4" w:space="0" w:color="024F75"/>
          <w:insideH w:val="nil"/>
          <w:insideV w:val="nil"/>
        </w:tcBorders>
        <w:shd w:val="clear" w:color="auto" w:fill="024F75"/>
      </w:tcPr>
    </w:tblStylePr>
    <w:tblStylePr w:type="lastRow">
      <w:rPr>
        <w:b/>
        <w:bCs/>
      </w:rPr>
      <w:tblPr/>
      <w:tcPr>
        <w:tcBorders>
          <w:top w:val="double" w:sz="4" w:space="0" w:color="024F75"/>
        </w:tcBorders>
      </w:tcPr>
    </w:tblStylePr>
    <w:tblStylePr w:type="firstCol">
      <w:rPr>
        <w:b/>
        <w:bCs/>
      </w:rPr>
    </w:tblStylePr>
    <w:tblStylePr w:type="lastCol">
      <w:rPr>
        <w:b/>
        <w:bCs/>
      </w:rPr>
    </w:tblStylePr>
    <w:tblStylePr w:type="band1Vert">
      <w:tblPr/>
      <w:tcPr>
        <w:shd w:val="clear" w:color="auto" w:fill="B1E4FD"/>
      </w:tcPr>
    </w:tblStylePr>
    <w:tblStylePr w:type="band1Horz">
      <w:tblPr/>
      <w:tcPr>
        <w:shd w:val="clear" w:color="auto" w:fill="B1E4FD"/>
      </w:tcPr>
    </w:tblStylePr>
  </w:style>
  <w:style w:type="table" w:customStyle="1" w:styleId="Tablaconcuadrcula3-nfasis21">
    <w:name w:val="Tabla con cuadrícula 3 - Énfasis 21"/>
    <w:basedOn w:val="Tablanormal"/>
    <w:uiPriority w:val="46"/>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6E9F5"/>
      </w:tcPr>
    </w:tblStylePr>
    <w:tblStylePr w:type="band1Horz">
      <w:tblPr/>
      <w:tcPr>
        <w:shd w:val="clear" w:color="auto" w:fill="D6E9F5"/>
      </w:tcPr>
    </w:tblStylePr>
    <w:tblStylePr w:type="neCell">
      <w:tblPr/>
      <w:tcPr>
        <w:tcBorders>
          <w:bottom w:val="single" w:sz="4" w:space="0" w:color="85BDE2"/>
        </w:tcBorders>
      </w:tcPr>
    </w:tblStylePr>
    <w:tblStylePr w:type="nwCell">
      <w:tblPr/>
      <w:tcPr>
        <w:tcBorders>
          <w:bottom w:val="single" w:sz="4" w:space="0" w:color="85BDE2"/>
        </w:tcBorders>
      </w:tcPr>
    </w:tblStylePr>
    <w:tblStylePr w:type="seCell">
      <w:tblPr/>
      <w:tcPr>
        <w:tcBorders>
          <w:top w:val="single" w:sz="4" w:space="0" w:color="85BDE2"/>
        </w:tcBorders>
      </w:tcPr>
    </w:tblStylePr>
    <w:tblStylePr w:type="swCell">
      <w:tblPr/>
      <w:tcPr>
        <w:tcBorders>
          <w:top w:val="single" w:sz="4" w:space="0" w:color="85BDE2"/>
        </w:tcBorders>
      </w:tcPr>
    </w:tblStylePr>
  </w:style>
  <w:style w:type="character" w:customStyle="1" w:styleId="Mencinsinresolver1">
    <w:name w:val="Mención sin resolver1"/>
    <w:uiPriority w:val="99"/>
    <w:semiHidden/>
    <w:unhideWhenUsed/>
    <w:rsid w:val="00116D0A"/>
    <w:rPr>
      <w:color w:val="605E5C"/>
      <w:shd w:val="clear" w:color="auto" w:fill="E1DFDD"/>
    </w:rPr>
  </w:style>
  <w:style w:type="character" w:customStyle="1" w:styleId="Ttulo3Car1">
    <w:name w:val="Título 3 Car1"/>
    <w:uiPriority w:val="9"/>
    <w:semiHidden/>
    <w:rsid w:val="00116D0A"/>
    <w:rPr>
      <w:rFonts w:ascii="Calibri" w:eastAsia="MS Gothic" w:hAnsi="Calibri" w:cs="Times New Roman"/>
      <w:b/>
      <w:bCs/>
      <w:sz w:val="26"/>
      <w:szCs w:val="26"/>
      <w:lang w:val="es-CO" w:eastAsia="en-US"/>
    </w:rPr>
  </w:style>
  <w:style w:type="table" w:styleId="Tablaconcuadrcula4-nfasis2">
    <w:name w:val="Grid Table 4 Accent 2"/>
    <w:basedOn w:val="Tablanormal"/>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character" w:customStyle="1" w:styleId="TextoindependienteCar">
    <w:name w:val="Texto independiente Car"/>
    <w:basedOn w:val="Fuentedeprrafopredeter"/>
    <w:link w:val="Textoindependiente"/>
    <w:uiPriority w:val="1"/>
    <w:rsid w:val="00116D0A"/>
    <w:rPr>
      <w:rFonts w:ascii="Arial MT" w:eastAsia="Arial MT" w:hAnsi="Arial MT" w:cs="Arial MT"/>
      <w:lang w:val="es-ES"/>
    </w:rPr>
  </w:style>
  <w:style w:type="table" w:customStyle="1" w:styleId="Tabladecuadrcula4-nfasis21">
    <w:name w:val="Tabla de cuadrícula 4 - Énfasis 21"/>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2">
    <w:name w:val="Tabla de cuadrícula 4 - Énfasis 22"/>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3">
    <w:name w:val="Tabla de cuadrícula 4 - Énfasis 23"/>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4">
    <w:name w:val="Tabla de cuadrícula 4 - Énfasis 24"/>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5">
    <w:name w:val="Tabla de cuadrícula 4 - Énfasis 25"/>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6">
    <w:name w:val="Tabla de cuadrícula 4 - Énfasis 26"/>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7">
    <w:name w:val="Tabla de cuadrícula 4 - Énfasis 27"/>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table" w:customStyle="1" w:styleId="Tabladecuadrcula4-nfasis28">
    <w:name w:val="Tabla de cuadrícula 4 - Énfasis 28"/>
    <w:basedOn w:val="Tablanormal"/>
    <w:next w:val="Tablaconcuadrcula4-nfasis2"/>
    <w:uiPriority w:val="49"/>
    <w:rsid w:val="00116D0A"/>
    <w:pPr>
      <w:widowControl/>
      <w:autoSpaceDE/>
      <w:autoSpaceDN/>
    </w:pPr>
    <w:rPr>
      <w:rFonts w:ascii="Calibri" w:eastAsia="Calibri" w:hAnsi="Calibri" w:cs="Times New Roman"/>
      <w:sz w:val="24"/>
      <w:szCs w:val="24"/>
      <w:lang w:val="es-ES"/>
    </w:rPr>
    <w:tblPr>
      <w:tblStyleRowBandSize w:val="1"/>
      <w:tblStyleColBandSize w:val="1"/>
      <w:tblBorders>
        <w:top w:val="single" w:sz="4" w:space="0" w:color="85BDE2"/>
        <w:left w:val="single" w:sz="4" w:space="0" w:color="85BDE2"/>
        <w:bottom w:val="single" w:sz="4" w:space="0" w:color="85BDE2"/>
        <w:right w:val="single" w:sz="4" w:space="0" w:color="85BDE2"/>
        <w:insideH w:val="single" w:sz="4" w:space="0" w:color="85BDE2"/>
        <w:insideV w:val="single" w:sz="4" w:space="0" w:color="85BDE2"/>
      </w:tblBorders>
    </w:tblPr>
    <w:tblStylePr w:type="firstRow">
      <w:rPr>
        <w:b/>
        <w:bCs/>
        <w:color w:val="FFFFFF"/>
      </w:rPr>
      <w:tblPr/>
      <w:tcPr>
        <w:tcBorders>
          <w:top w:val="single" w:sz="4" w:space="0" w:color="3592CF"/>
          <w:left w:val="single" w:sz="4" w:space="0" w:color="3592CF"/>
          <w:bottom w:val="single" w:sz="4" w:space="0" w:color="3592CF"/>
          <w:right w:val="single" w:sz="4" w:space="0" w:color="3592CF"/>
          <w:insideH w:val="nil"/>
          <w:insideV w:val="nil"/>
        </w:tcBorders>
        <w:shd w:val="clear" w:color="auto" w:fill="3592CF"/>
      </w:tcPr>
    </w:tblStylePr>
    <w:tblStylePr w:type="lastRow">
      <w:rPr>
        <w:b/>
        <w:bCs/>
      </w:rPr>
      <w:tblPr/>
      <w:tcPr>
        <w:tcBorders>
          <w:top w:val="double" w:sz="4" w:space="0" w:color="3592CF"/>
        </w:tcBorders>
      </w:tcPr>
    </w:tblStylePr>
    <w:tblStylePr w:type="firstCol">
      <w:rPr>
        <w:b/>
        <w:bCs/>
      </w:rPr>
    </w:tblStylePr>
    <w:tblStylePr w:type="lastCol">
      <w:rPr>
        <w:b/>
        <w:bCs/>
      </w:rPr>
    </w:tblStylePr>
    <w:tblStylePr w:type="band1Vert">
      <w:tblPr/>
      <w:tcPr>
        <w:shd w:val="clear" w:color="auto" w:fill="D6E9F5"/>
      </w:tcPr>
    </w:tblStylePr>
    <w:tblStylePr w:type="band1Horz">
      <w:tblPr/>
      <w:tcPr>
        <w:shd w:val="clear" w:color="auto" w:fill="D6E9F5"/>
      </w:tcPr>
    </w:tblStylePr>
  </w:style>
  <w:style w:type="paragraph" w:styleId="Descripcin">
    <w:name w:val="caption"/>
    <w:aliases w:val="Titulo Ilustraciones"/>
    <w:basedOn w:val="Normal"/>
    <w:next w:val="Normal"/>
    <w:link w:val="DescripcinCar"/>
    <w:uiPriority w:val="35"/>
    <w:unhideWhenUsed/>
    <w:qFormat/>
    <w:rsid w:val="00116D0A"/>
    <w:pPr>
      <w:widowControl/>
      <w:autoSpaceDE/>
      <w:autoSpaceDN/>
      <w:spacing w:before="240" w:after="240" w:line="360" w:lineRule="auto"/>
      <w:jc w:val="center"/>
    </w:pPr>
    <w:rPr>
      <w:rFonts w:ascii="Tahoma" w:eastAsia="Times New Roman" w:hAnsi="Tahoma" w:cs="Tahoma"/>
      <w:b/>
      <w:szCs w:val="24"/>
      <w:lang w:val="es-CO" w:eastAsia="es-ES"/>
    </w:rPr>
  </w:style>
  <w:style w:type="paragraph" w:styleId="Tabladeilustraciones">
    <w:name w:val="table of figures"/>
    <w:basedOn w:val="Normal"/>
    <w:next w:val="Normal"/>
    <w:uiPriority w:val="99"/>
    <w:unhideWhenUsed/>
    <w:rsid w:val="00116D0A"/>
    <w:pPr>
      <w:widowControl/>
      <w:numPr>
        <w:numId w:val="4"/>
      </w:numPr>
      <w:autoSpaceDE/>
      <w:autoSpaceDN/>
      <w:spacing w:before="240" w:after="240" w:line="360" w:lineRule="auto"/>
      <w:jc w:val="center"/>
    </w:pPr>
    <w:rPr>
      <w:rFonts w:ascii="Tahoma" w:eastAsia="Calibri" w:hAnsi="Tahoma" w:cs="Times New Roman"/>
      <w:b/>
      <w:lang w:val="es-CO"/>
    </w:rPr>
  </w:style>
  <w:style w:type="table" w:customStyle="1" w:styleId="Calendario1">
    <w:name w:val="Calendario 1"/>
    <w:basedOn w:val="Tablanormal"/>
    <w:uiPriority w:val="99"/>
    <w:qFormat/>
    <w:rsid w:val="00116D0A"/>
    <w:pPr>
      <w:widowControl/>
      <w:autoSpaceDE/>
      <w:autoSpaceDN/>
    </w:pPr>
    <w:rPr>
      <w:rFonts w:ascii="Calibri" w:eastAsia="Times New Roman" w:hAnsi="Calibri" w:cs="Times New Roman"/>
      <w:lang w:val="es-ES" w:eastAsia="es-E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Bibliografa">
    <w:name w:val="Bibliography"/>
    <w:basedOn w:val="Normal"/>
    <w:next w:val="Normal"/>
    <w:uiPriority w:val="37"/>
    <w:unhideWhenUsed/>
    <w:rsid w:val="00116D0A"/>
    <w:pPr>
      <w:widowControl/>
      <w:autoSpaceDE/>
      <w:autoSpaceDN/>
      <w:spacing w:before="240" w:after="240" w:line="360" w:lineRule="auto"/>
    </w:pPr>
    <w:rPr>
      <w:rFonts w:ascii="Tahoma" w:eastAsia="Times New Roman" w:hAnsi="Tahoma" w:cs="Times New Roman"/>
      <w:sz w:val="24"/>
      <w:szCs w:val="24"/>
      <w:lang w:val="es-CO" w:eastAsia="es-ES"/>
    </w:rPr>
  </w:style>
  <w:style w:type="character" w:customStyle="1" w:styleId="fontstyle01">
    <w:name w:val="fontstyle01"/>
    <w:rsid w:val="00116D0A"/>
    <w:rPr>
      <w:rFonts w:ascii="Arial-BoldMT" w:hAnsi="Arial-BoldMT" w:hint="default"/>
      <w:b/>
      <w:bCs/>
      <w:i w:val="0"/>
      <w:iCs w:val="0"/>
      <w:color w:val="000000"/>
      <w:sz w:val="16"/>
      <w:szCs w:val="16"/>
    </w:rPr>
  </w:style>
  <w:style w:type="table" w:customStyle="1" w:styleId="TableNormal1">
    <w:name w:val="Table Normal1"/>
    <w:rsid w:val="00116D0A"/>
    <w:pPr>
      <w:widowControl/>
      <w:autoSpaceDE/>
      <w:autoSpaceDN/>
      <w:spacing w:after="200" w:line="276" w:lineRule="auto"/>
    </w:pPr>
    <w:rPr>
      <w:rFonts w:ascii="Calibri" w:eastAsia="Calibri" w:hAnsi="Calibri" w:cs="Calibri"/>
      <w:lang w:val="es-ES"/>
    </w:rPr>
    <w:tblPr>
      <w:tblCellMar>
        <w:top w:w="0" w:type="dxa"/>
        <w:left w:w="0" w:type="dxa"/>
        <w:bottom w:w="0" w:type="dxa"/>
        <w:right w:w="0" w:type="dxa"/>
      </w:tblCellMar>
    </w:tblPr>
  </w:style>
  <w:style w:type="table" w:customStyle="1" w:styleId="TableNormal2">
    <w:name w:val="Table Normal2"/>
    <w:rsid w:val="00116D0A"/>
    <w:pPr>
      <w:widowControl/>
      <w:autoSpaceDE/>
      <w:autoSpaceDN/>
      <w:spacing w:after="200" w:line="276" w:lineRule="auto"/>
    </w:pPr>
    <w:rPr>
      <w:rFonts w:ascii="Calibri" w:eastAsia="Calibri" w:hAnsi="Calibri" w:cs="Calibri"/>
      <w:lang w:val="es-ES"/>
    </w:rPr>
    <w:tblPr>
      <w:tblCellMar>
        <w:top w:w="0" w:type="dxa"/>
        <w:left w:w="0" w:type="dxa"/>
        <w:bottom w:w="0" w:type="dxa"/>
        <w:right w:w="0" w:type="dxa"/>
      </w:tblCellMar>
    </w:tblPr>
  </w:style>
  <w:style w:type="character" w:customStyle="1" w:styleId="PrrafodelistaCar">
    <w:name w:val="Párrafo de lista Car"/>
    <w:link w:val="Prrafodelista"/>
    <w:uiPriority w:val="1"/>
    <w:rsid w:val="00116D0A"/>
    <w:rPr>
      <w:rFonts w:ascii="Arial MT" w:eastAsia="Arial MT" w:hAnsi="Arial MT" w:cs="Arial MT"/>
      <w:lang w:val="es-ES"/>
    </w:rPr>
  </w:style>
  <w:style w:type="paragraph" w:styleId="Sangradetextonormal">
    <w:name w:val="Body Text Indent"/>
    <w:basedOn w:val="Normal"/>
    <w:link w:val="SangradetextonormalCar"/>
    <w:unhideWhenUsed/>
    <w:rsid w:val="00116D0A"/>
    <w:pPr>
      <w:widowControl/>
      <w:autoSpaceDE/>
      <w:autoSpaceDN/>
      <w:spacing w:before="240" w:after="200" w:line="276" w:lineRule="auto"/>
      <w:ind w:left="28" w:firstLine="14"/>
    </w:pPr>
    <w:rPr>
      <w:rFonts w:ascii="Arial" w:eastAsia="Calibri" w:hAnsi="Arial" w:cs="Arial"/>
      <w:lang w:val="es-CO"/>
    </w:rPr>
  </w:style>
  <w:style w:type="character" w:customStyle="1" w:styleId="SangradetextonormalCar">
    <w:name w:val="Sangría de texto normal Car"/>
    <w:basedOn w:val="Fuentedeprrafopredeter"/>
    <w:link w:val="Sangradetextonormal"/>
    <w:rsid w:val="00116D0A"/>
    <w:rPr>
      <w:rFonts w:ascii="Arial" w:eastAsia="Calibri" w:hAnsi="Arial" w:cs="Arial"/>
      <w:lang w:val="es-CO"/>
    </w:rPr>
  </w:style>
  <w:style w:type="paragraph" w:customStyle="1" w:styleId="Estilo">
    <w:name w:val="Estilo"/>
    <w:rsid w:val="00116D0A"/>
    <w:pPr>
      <w:suppressAutoHyphens/>
      <w:autoSpaceDN/>
      <w:spacing w:after="200" w:line="276" w:lineRule="auto"/>
    </w:pPr>
    <w:rPr>
      <w:rFonts w:ascii="Arial" w:eastAsia="Arial" w:hAnsi="Arial" w:cs="Arial"/>
      <w:sz w:val="24"/>
      <w:szCs w:val="24"/>
      <w:lang w:val="es-ES" w:eastAsia="ar-SA"/>
    </w:rPr>
  </w:style>
  <w:style w:type="paragraph" w:styleId="Textoindependiente2">
    <w:name w:val="Body Text 2"/>
    <w:basedOn w:val="Normal"/>
    <w:link w:val="Textoindependiente2Car"/>
    <w:uiPriority w:val="99"/>
    <w:unhideWhenUsed/>
    <w:rsid w:val="00116D0A"/>
    <w:pPr>
      <w:widowControl/>
      <w:autoSpaceDE/>
      <w:autoSpaceDN/>
      <w:spacing w:before="240" w:after="200" w:line="276" w:lineRule="auto"/>
    </w:pPr>
    <w:rPr>
      <w:rFonts w:ascii="Arial" w:eastAsia="Calibri" w:hAnsi="Arial" w:cs="Calibri"/>
      <w:color w:val="494949"/>
      <w:sz w:val="24"/>
      <w:szCs w:val="24"/>
      <w:lang w:val="es-CO"/>
    </w:rPr>
  </w:style>
  <w:style w:type="character" w:customStyle="1" w:styleId="Textoindependiente2Car">
    <w:name w:val="Texto independiente 2 Car"/>
    <w:basedOn w:val="Fuentedeprrafopredeter"/>
    <w:link w:val="Textoindependiente2"/>
    <w:uiPriority w:val="99"/>
    <w:rsid w:val="00116D0A"/>
    <w:rPr>
      <w:rFonts w:ascii="Arial" w:eastAsia="Calibri" w:hAnsi="Arial" w:cs="Calibri"/>
      <w:color w:val="494949"/>
      <w:sz w:val="24"/>
      <w:szCs w:val="24"/>
      <w:lang w:val="es-CO"/>
    </w:rPr>
  </w:style>
  <w:style w:type="table" w:customStyle="1" w:styleId="TableNormal11">
    <w:name w:val="Table Normal11"/>
    <w:rsid w:val="00116D0A"/>
    <w:pPr>
      <w:widowControl/>
      <w:autoSpaceDE/>
      <w:autoSpaceDN/>
      <w:spacing w:after="200" w:line="276" w:lineRule="auto"/>
    </w:pPr>
    <w:rPr>
      <w:rFonts w:ascii="Calibri" w:eastAsia="Calibri" w:hAnsi="Calibri" w:cs="Calibri"/>
      <w:lang w:val="es-ES"/>
    </w:rPr>
    <w:tblPr>
      <w:tblCellMar>
        <w:top w:w="0" w:type="dxa"/>
        <w:left w:w="0" w:type="dxa"/>
        <w:bottom w:w="0" w:type="dxa"/>
        <w:right w:w="0" w:type="dxa"/>
      </w:tblCellMar>
    </w:tblPr>
  </w:style>
  <w:style w:type="paragraph" w:styleId="Mapadeldocumento">
    <w:name w:val="Document Map"/>
    <w:basedOn w:val="Normal"/>
    <w:link w:val="MapadeldocumentoCar"/>
    <w:uiPriority w:val="99"/>
    <w:semiHidden/>
    <w:unhideWhenUsed/>
    <w:rsid w:val="00116D0A"/>
    <w:pPr>
      <w:widowControl/>
      <w:autoSpaceDE/>
      <w:autoSpaceDN/>
      <w:spacing w:before="240" w:after="240" w:line="360" w:lineRule="auto"/>
    </w:pPr>
    <w:rPr>
      <w:rFonts w:ascii="Tahoma" w:eastAsia="Times New Roman" w:hAnsi="Tahoma" w:cs="Times New Roman"/>
      <w:sz w:val="16"/>
      <w:szCs w:val="16"/>
      <w:lang w:val="es-CO" w:eastAsia="es-ES"/>
    </w:rPr>
  </w:style>
  <w:style w:type="character" w:customStyle="1" w:styleId="MapadeldocumentoCar">
    <w:name w:val="Mapa del documento Car"/>
    <w:basedOn w:val="Fuentedeprrafopredeter"/>
    <w:link w:val="Mapadeldocumento"/>
    <w:uiPriority w:val="99"/>
    <w:semiHidden/>
    <w:rsid w:val="00116D0A"/>
    <w:rPr>
      <w:rFonts w:ascii="Tahoma" w:eastAsia="Times New Roman" w:hAnsi="Tahoma" w:cs="Times New Roman"/>
      <w:sz w:val="16"/>
      <w:szCs w:val="16"/>
      <w:lang w:val="es-CO" w:eastAsia="es-ES"/>
    </w:rPr>
  </w:style>
  <w:style w:type="character" w:styleId="Hipervnculovisitado">
    <w:name w:val="FollowedHyperlink"/>
    <w:uiPriority w:val="99"/>
    <w:semiHidden/>
    <w:unhideWhenUsed/>
    <w:rsid w:val="00116D0A"/>
    <w:rPr>
      <w:color w:val="800080"/>
      <w:u w:val="single"/>
    </w:rPr>
  </w:style>
  <w:style w:type="character" w:customStyle="1" w:styleId="MediumGrid2Char">
    <w:name w:val="Medium Grid 2 Char"/>
    <w:link w:val="Cuadrculamedia2"/>
    <w:uiPriority w:val="1"/>
    <w:semiHidden/>
    <w:rsid w:val="00116D0A"/>
    <w:rPr>
      <w:rFonts w:eastAsia="Times New Roman"/>
      <w:sz w:val="22"/>
      <w:szCs w:val="22"/>
    </w:rPr>
  </w:style>
  <w:style w:type="character" w:styleId="Textoennegrita">
    <w:name w:val="Strong"/>
    <w:uiPriority w:val="22"/>
    <w:qFormat/>
    <w:rsid w:val="00116D0A"/>
    <w:rPr>
      <w:b/>
      <w:bCs/>
    </w:rPr>
  </w:style>
  <w:style w:type="table" w:customStyle="1" w:styleId="Tablaconcuadrcula2">
    <w:name w:val="Tabla con cuadrícula2"/>
    <w:basedOn w:val="Tablanormal"/>
    <w:next w:val="Tablaconcuadrcula"/>
    <w:uiPriority w:val="39"/>
    <w:rsid w:val="00116D0A"/>
    <w:pPr>
      <w:widowControl/>
      <w:autoSpaceDE/>
      <w:autoSpaceDN/>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List-Accent1Char">
    <w:name w:val="Colorful List - Accent 1 Char"/>
    <w:aliases w:val="Segundo nivel de viñetas Char,List Paragraph1 Char,titulo 3 Char,Lista vistosa - Énfasis 11 Char,Segundo nivel de vi–etas Char,lp1 Char,Bullet Number Char,lp11 Char,List Paragraph11 Char,Bullet 1 Char,Num Bullet 1 Char"/>
    <w:uiPriority w:val="34"/>
    <w:rsid w:val="00116D0A"/>
    <w:rPr>
      <w:sz w:val="22"/>
      <w:szCs w:val="22"/>
      <w:lang w:val="es-CO"/>
    </w:rPr>
  </w:style>
  <w:style w:type="character" w:customStyle="1" w:styleId="Cuerpodeltexto">
    <w:name w:val="Cuerpo del texto_"/>
    <w:link w:val="Cuerpodeltexto0"/>
    <w:rsid w:val="00116D0A"/>
    <w:rPr>
      <w:rFonts w:ascii="Tahoma" w:eastAsia="Tahoma" w:hAnsi="Tahoma" w:cs="Tahoma"/>
      <w:spacing w:val="-5"/>
      <w:sz w:val="21"/>
      <w:szCs w:val="21"/>
      <w:shd w:val="clear" w:color="auto" w:fill="FFFFFF"/>
    </w:rPr>
  </w:style>
  <w:style w:type="paragraph" w:customStyle="1" w:styleId="Cuerpodeltexto0">
    <w:name w:val="Cuerpo del texto"/>
    <w:basedOn w:val="Normal"/>
    <w:link w:val="Cuerpodeltexto"/>
    <w:rsid w:val="00116D0A"/>
    <w:pPr>
      <w:shd w:val="clear" w:color="auto" w:fill="FFFFFF"/>
      <w:autoSpaceDE/>
      <w:autoSpaceDN/>
      <w:spacing w:before="240" w:after="240" w:line="259" w:lineRule="exact"/>
    </w:pPr>
    <w:rPr>
      <w:rFonts w:ascii="Tahoma" w:eastAsia="Tahoma" w:hAnsi="Tahoma" w:cs="Tahoma"/>
      <w:spacing w:val="-5"/>
      <w:sz w:val="21"/>
      <w:szCs w:val="21"/>
      <w:lang w:val="en-US"/>
    </w:rPr>
  </w:style>
  <w:style w:type="paragraph" w:customStyle="1" w:styleId="Prrafodelista1">
    <w:name w:val="Párrafo de lista1"/>
    <w:basedOn w:val="Normal"/>
    <w:rsid w:val="00116D0A"/>
    <w:pPr>
      <w:widowControl/>
      <w:autoSpaceDE/>
      <w:autoSpaceDN/>
      <w:spacing w:before="240" w:after="240" w:line="360" w:lineRule="auto"/>
      <w:ind w:left="708"/>
    </w:pPr>
    <w:rPr>
      <w:rFonts w:ascii="Tahoma" w:eastAsia="Times New Roman" w:hAnsi="Tahoma" w:cs="Times New Roman"/>
      <w:sz w:val="24"/>
      <w:szCs w:val="24"/>
      <w:lang w:val="es-CO" w:eastAsia="es-ES"/>
    </w:rPr>
  </w:style>
  <w:style w:type="paragraph" w:styleId="Textoindependiente3">
    <w:name w:val="Body Text 3"/>
    <w:basedOn w:val="Normal"/>
    <w:link w:val="Textoindependiente3Car"/>
    <w:semiHidden/>
    <w:rsid w:val="00116D0A"/>
    <w:pPr>
      <w:widowControl/>
      <w:autoSpaceDE/>
      <w:autoSpaceDN/>
      <w:spacing w:before="240" w:after="240" w:line="360" w:lineRule="auto"/>
    </w:pPr>
    <w:rPr>
      <w:rFonts w:ascii="Arial" w:eastAsia="Times New Roman" w:hAnsi="Arial" w:cs="Times New Roman"/>
      <w:sz w:val="24"/>
      <w:szCs w:val="20"/>
      <w:lang w:val="es-MX" w:eastAsia="es-ES"/>
    </w:rPr>
  </w:style>
  <w:style w:type="character" w:customStyle="1" w:styleId="Textoindependiente3Car">
    <w:name w:val="Texto independiente 3 Car"/>
    <w:basedOn w:val="Fuentedeprrafopredeter"/>
    <w:link w:val="Textoindependiente3"/>
    <w:semiHidden/>
    <w:rsid w:val="00116D0A"/>
    <w:rPr>
      <w:rFonts w:ascii="Arial" w:eastAsia="Times New Roman" w:hAnsi="Arial" w:cs="Times New Roman"/>
      <w:sz w:val="24"/>
      <w:szCs w:val="20"/>
      <w:lang w:val="es-MX" w:eastAsia="es-ES"/>
    </w:rPr>
  </w:style>
  <w:style w:type="paragraph" w:customStyle="1" w:styleId="1">
    <w:name w:val="1"/>
    <w:basedOn w:val="Normal"/>
    <w:next w:val="Normal"/>
    <w:uiPriority w:val="35"/>
    <w:unhideWhenUsed/>
    <w:rsid w:val="00116D0A"/>
    <w:pPr>
      <w:widowControl/>
      <w:autoSpaceDE/>
      <w:autoSpaceDN/>
      <w:spacing w:before="240" w:after="160" w:line="259" w:lineRule="auto"/>
    </w:pPr>
    <w:rPr>
      <w:rFonts w:ascii="Calibri" w:eastAsia="MS Mincho" w:hAnsi="Calibri" w:cs="Times New Roman"/>
      <w:b/>
      <w:bCs/>
      <w:sz w:val="24"/>
      <w:szCs w:val="20"/>
      <w:lang w:val="es-CO" w:eastAsia="es-CO"/>
    </w:rPr>
  </w:style>
  <w:style w:type="paragraph" w:customStyle="1" w:styleId="Pa11">
    <w:name w:val="Pa11"/>
    <w:basedOn w:val="Default"/>
    <w:next w:val="Default"/>
    <w:rsid w:val="00116D0A"/>
    <w:pPr>
      <w:spacing w:before="80" w:after="160" w:line="201" w:lineRule="atLeast"/>
    </w:pPr>
    <w:rPr>
      <w:rFonts w:ascii="Humanst521 XBdCn BT" w:hAnsi="Humanst521 XBdCn BT" w:cs="Times New Roman"/>
      <w:color w:val="auto"/>
    </w:rPr>
  </w:style>
  <w:style w:type="paragraph" w:styleId="z-Principiodelformulario">
    <w:name w:val="HTML Top of Form"/>
    <w:basedOn w:val="Normal"/>
    <w:next w:val="Normal"/>
    <w:link w:val="z-PrincipiodelformularioCar"/>
    <w:hidden/>
    <w:uiPriority w:val="99"/>
    <w:semiHidden/>
    <w:unhideWhenUsed/>
    <w:rsid w:val="00116D0A"/>
    <w:pPr>
      <w:widowControl/>
      <w:pBdr>
        <w:bottom w:val="single" w:sz="6" w:space="1" w:color="auto"/>
      </w:pBdr>
      <w:autoSpaceDE/>
      <w:autoSpaceDN/>
      <w:spacing w:before="240" w:after="240" w:line="360" w:lineRule="auto"/>
      <w:jc w:val="center"/>
    </w:pPr>
    <w:rPr>
      <w:rFonts w:ascii="Arial" w:eastAsia="Times New Roman" w:hAnsi="Arial" w:cs="Arial"/>
      <w:vanish/>
      <w:sz w:val="16"/>
      <w:szCs w:val="16"/>
      <w:lang w:val="es-CO" w:eastAsia="es-ES"/>
    </w:rPr>
  </w:style>
  <w:style w:type="character" w:customStyle="1" w:styleId="z-PrincipiodelformularioCar">
    <w:name w:val="z-Principio del formulario Car"/>
    <w:basedOn w:val="Fuentedeprrafopredeter"/>
    <w:link w:val="z-Principiodelformulario"/>
    <w:uiPriority w:val="99"/>
    <w:semiHidden/>
    <w:rsid w:val="00116D0A"/>
    <w:rPr>
      <w:rFonts w:ascii="Arial" w:eastAsia="Times New Roman" w:hAnsi="Arial" w:cs="Arial"/>
      <w:vanish/>
      <w:sz w:val="16"/>
      <w:szCs w:val="16"/>
      <w:lang w:val="es-CO" w:eastAsia="es-ES"/>
    </w:rPr>
  </w:style>
  <w:style w:type="paragraph" w:styleId="z-Finaldelformulario">
    <w:name w:val="HTML Bottom of Form"/>
    <w:basedOn w:val="Normal"/>
    <w:next w:val="Normal"/>
    <w:link w:val="z-FinaldelformularioCar"/>
    <w:hidden/>
    <w:uiPriority w:val="99"/>
    <w:semiHidden/>
    <w:unhideWhenUsed/>
    <w:rsid w:val="00116D0A"/>
    <w:pPr>
      <w:widowControl/>
      <w:pBdr>
        <w:top w:val="single" w:sz="6" w:space="1" w:color="auto"/>
      </w:pBdr>
      <w:autoSpaceDE/>
      <w:autoSpaceDN/>
      <w:spacing w:before="240" w:after="240" w:line="360" w:lineRule="auto"/>
      <w:jc w:val="center"/>
    </w:pPr>
    <w:rPr>
      <w:rFonts w:ascii="Arial" w:eastAsia="Times New Roman" w:hAnsi="Arial" w:cs="Arial"/>
      <w:vanish/>
      <w:sz w:val="16"/>
      <w:szCs w:val="16"/>
      <w:lang w:val="es-CO" w:eastAsia="es-ES"/>
    </w:rPr>
  </w:style>
  <w:style w:type="character" w:customStyle="1" w:styleId="z-FinaldelformularioCar">
    <w:name w:val="z-Final del formulario Car"/>
    <w:basedOn w:val="Fuentedeprrafopredeter"/>
    <w:link w:val="z-Finaldelformulario"/>
    <w:uiPriority w:val="99"/>
    <w:semiHidden/>
    <w:rsid w:val="00116D0A"/>
    <w:rPr>
      <w:rFonts w:ascii="Arial" w:eastAsia="Times New Roman" w:hAnsi="Arial" w:cs="Arial"/>
      <w:vanish/>
      <w:sz w:val="16"/>
      <w:szCs w:val="16"/>
      <w:lang w:val="es-CO" w:eastAsia="es-ES"/>
    </w:rPr>
  </w:style>
  <w:style w:type="paragraph" w:styleId="Textonotaalfinal">
    <w:name w:val="endnote text"/>
    <w:basedOn w:val="Normal"/>
    <w:link w:val="TextonotaalfinalCar"/>
    <w:uiPriority w:val="99"/>
    <w:semiHidden/>
    <w:unhideWhenUsed/>
    <w:rsid w:val="00116D0A"/>
    <w:pPr>
      <w:widowControl/>
      <w:autoSpaceDE/>
      <w:autoSpaceDN/>
      <w:spacing w:before="240" w:after="240" w:line="360" w:lineRule="auto"/>
    </w:pPr>
    <w:rPr>
      <w:rFonts w:ascii="Calibri" w:eastAsia="MS Mincho" w:hAnsi="Calibri" w:cs="Times New Roman"/>
      <w:sz w:val="24"/>
      <w:szCs w:val="20"/>
      <w:lang w:val="es-CO" w:eastAsia="es-CO"/>
    </w:rPr>
  </w:style>
  <w:style w:type="character" w:customStyle="1" w:styleId="TextonotaalfinalCar">
    <w:name w:val="Texto nota al final Car"/>
    <w:basedOn w:val="Fuentedeprrafopredeter"/>
    <w:link w:val="Textonotaalfinal"/>
    <w:uiPriority w:val="99"/>
    <w:semiHidden/>
    <w:rsid w:val="00116D0A"/>
    <w:rPr>
      <w:rFonts w:ascii="Calibri" w:eastAsia="MS Mincho" w:hAnsi="Calibri" w:cs="Times New Roman"/>
      <w:sz w:val="24"/>
      <w:szCs w:val="20"/>
      <w:lang w:val="es-CO" w:eastAsia="es-CO"/>
    </w:rPr>
  </w:style>
  <w:style w:type="character" w:styleId="Refdenotaalfinal">
    <w:name w:val="endnote reference"/>
    <w:uiPriority w:val="99"/>
    <w:semiHidden/>
    <w:unhideWhenUsed/>
    <w:rsid w:val="00116D0A"/>
    <w:rPr>
      <w:vertAlign w:val="superscript"/>
    </w:rPr>
  </w:style>
  <w:style w:type="table" w:styleId="Listaclara-nfasis2">
    <w:name w:val="Light List Accent 2"/>
    <w:basedOn w:val="Tablanormal"/>
    <w:uiPriority w:val="66"/>
    <w:rsid w:val="00116D0A"/>
    <w:pPr>
      <w:widowControl/>
      <w:autoSpaceDE/>
      <w:autoSpaceDN/>
      <w:spacing w:after="160" w:line="259" w:lineRule="auto"/>
    </w:pPr>
    <w:rPr>
      <w:rFonts w:ascii="Calibri Light" w:eastAsia="MS Gothic" w:hAnsi="Calibri Light" w:cs="Times New Roman"/>
      <w:color w:val="000000"/>
      <w:lang w:val="es-CO"/>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Tablaconcuadrcula3-nfasis31">
    <w:name w:val="Tabla con cuadrícula 3 - Énfasis 31"/>
    <w:basedOn w:val="Tablanormal"/>
    <w:uiPriority w:val="46"/>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laconcuadrcula3-nfasis61">
    <w:name w:val="Tabla con cuadrícula 3 - Énfasis 61"/>
    <w:basedOn w:val="Tablanormal"/>
    <w:uiPriority w:val="46"/>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lista1clara1">
    <w:name w:val="Tabla de lista 1 clara1"/>
    <w:basedOn w:val="Tablanormal"/>
    <w:uiPriority w:val="51"/>
    <w:rsid w:val="00116D0A"/>
    <w:pPr>
      <w:widowControl/>
      <w:autoSpaceDE/>
      <w:autoSpaceDN/>
      <w:spacing w:after="160" w:line="259" w:lineRule="auto"/>
    </w:pPr>
    <w:rPr>
      <w:rFonts w:ascii="Calibri" w:eastAsia="MS Mincho" w:hAnsi="Calibri" w:cs="Times New Roman"/>
      <w:color w:val="2F5496"/>
      <w:lang w:val="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21">
    <w:name w:val="Tabla de lista 21"/>
    <w:basedOn w:val="Tablanormal"/>
    <w:uiPriority w:val="52"/>
    <w:rsid w:val="00116D0A"/>
    <w:pPr>
      <w:widowControl/>
      <w:autoSpaceDE/>
      <w:autoSpaceDN/>
      <w:spacing w:after="160" w:line="259" w:lineRule="auto"/>
    </w:pPr>
    <w:rPr>
      <w:rFonts w:ascii="Calibri" w:eastAsia="MS Mincho" w:hAnsi="Calibri" w:cs="Times New Roman"/>
      <w:color w:val="2F5496"/>
      <w:lang w:val="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aconcuadrcula7concolores-nfasis21">
    <w:name w:val="Tabla con cuadrícula 7 con colores - Énfasis 21"/>
    <w:basedOn w:val="Tablanormal"/>
    <w:uiPriority w:val="50"/>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lista6concolores-nfasis21">
    <w:name w:val="Tabla de lista 6 con colores - Énfasis 21"/>
    <w:basedOn w:val="Tablanormal"/>
    <w:uiPriority w:val="49"/>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6concolores-nfasis21">
    <w:name w:val="Tabla con cuadrícula 6 con colores - Énfasis 21"/>
    <w:basedOn w:val="Tablanormal"/>
    <w:uiPriority w:val="49"/>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6concolores-nfasis61">
    <w:name w:val="Tabla con cuadrícula 6 con colores - Énfasis 61"/>
    <w:basedOn w:val="Tablanormal"/>
    <w:uiPriority w:val="49"/>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7concolores-nfasis61">
    <w:name w:val="Tabla con cuadrícula 7 con colores - Énfasis 61"/>
    <w:basedOn w:val="Tablanormal"/>
    <w:uiPriority w:val="50"/>
    <w:rsid w:val="00116D0A"/>
    <w:pPr>
      <w:widowControl/>
      <w:autoSpaceDE/>
      <w:autoSpaceDN/>
      <w:spacing w:after="160" w:line="259" w:lineRule="auto"/>
    </w:pPr>
    <w:rPr>
      <w:rFonts w:ascii="Calibri" w:eastAsia="MS Mincho" w:hAnsi="Calibri" w:cs="Times New Roman"/>
      <w:lang w:val="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styleId="nfasis">
    <w:name w:val="Emphasis"/>
    <w:uiPriority w:val="20"/>
    <w:qFormat/>
    <w:rsid w:val="00116D0A"/>
    <w:rPr>
      <w:i/>
      <w:iCs/>
    </w:rPr>
  </w:style>
  <w:style w:type="character" w:customStyle="1" w:styleId="ColorfulGrid-Accent1Char">
    <w:name w:val="Colorful Grid - Accent 1 Char"/>
    <w:link w:val="Cuadrculavistosa-nfasis1"/>
    <w:uiPriority w:val="29"/>
    <w:rsid w:val="00116D0A"/>
    <w:rPr>
      <w:rFonts w:eastAsia="MS Mincho"/>
      <w:i/>
      <w:iCs/>
      <w:sz w:val="22"/>
      <w:szCs w:val="22"/>
      <w:lang w:val="es-CO" w:eastAsia="es-CO"/>
    </w:rPr>
  </w:style>
  <w:style w:type="character" w:customStyle="1" w:styleId="LightShading-Accent2Char">
    <w:name w:val="Light Shading - Accent 2 Char"/>
    <w:link w:val="Sombreadoclaro-nfasis2"/>
    <w:uiPriority w:val="30"/>
    <w:rsid w:val="00116D0A"/>
    <w:rPr>
      <w:rFonts w:ascii="Calibri Light" w:eastAsia="MS Gothic" w:hAnsi="Calibri Light"/>
      <w:color w:val="5B9BD5"/>
      <w:sz w:val="24"/>
      <w:szCs w:val="24"/>
      <w:lang w:val="es-CO" w:eastAsia="es-CO"/>
    </w:rPr>
  </w:style>
  <w:style w:type="character" w:customStyle="1" w:styleId="DescripcinCar">
    <w:name w:val="Descripción Car"/>
    <w:aliases w:val="Titulo Ilustraciones Car"/>
    <w:link w:val="Descripcin"/>
    <w:uiPriority w:val="35"/>
    <w:rsid w:val="00116D0A"/>
    <w:rPr>
      <w:rFonts w:ascii="Tahoma" w:eastAsia="Times New Roman" w:hAnsi="Tahoma" w:cs="Tahoma"/>
      <w:b/>
      <w:szCs w:val="24"/>
      <w:lang w:val="es-CO" w:eastAsia="es-ES"/>
    </w:rPr>
  </w:style>
  <w:style w:type="paragraph" w:customStyle="1" w:styleId="CaptionMSFigure">
    <w:name w:val="Caption MS Figure"/>
    <w:qFormat/>
    <w:rsid w:val="00116D0A"/>
    <w:pPr>
      <w:widowControl/>
      <w:autoSpaceDE/>
      <w:autoSpaceDN/>
      <w:spacing w:before="40" w:after="200" w:line="276" w:lineRule="auto"/>
      <w:jc w:val="center"/>
    </w:pPr>
    <w:rPr>
      <w:rFonts w:ascii="Segoe UI" w:eastAsia="Calibri" w:hAnsi="Segoe UI" w:cs="Times New Roman"/>
      <w:i/>
      <w:color w:val="525051"/>
      <w:sz w:val="20"/>
      <w:szCs w:val="16"/>
    </w:rPr>
  </w:style>
  <w:style w:type="table" w:customStyle="1" w:styleId="Tablaconcuadrcula4-nfasis61">
    <w:name w:val="Tabla con cuadrícula 4 - Énfasis 61"/>
    <w:basedOn w:val="Tablanormal"/>
    <w:uiPriority w:val="47"/>
    <w:rsid w:val="00116D0A"/>
    <w:pPr>
      <w:widowControl/>
      <w:autoSpaceDE/>
      <w:autoSpaceDN/>
    </w:pPr>
    <w:rPr>
      <w:rFonts w:ascii="Calibri" w:eastAsia="MS Mincho" w:hAnsi="Calibri" w:cs="Times New Roman"/>
      <w:lang w:val="es-C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iblioEntry">
    <w:name w:val="Biblio Entry"/>
    <w:basedOn w:val="Normal"/>
    <w:link w:val="BiblioEntryChar"/>
    <w:rsid w:val="00116D0A"/>
    <w:pPr>
      <w:widowControl/>
      <w:autoSpaceDE/>
      <w:autoSpaceDN/>
      <w:spacing w:before="240" w:after="240" w:line="240" w:lineRule="atLeast"/>
      <w:ind w:left="662" w:hanging="662"/>
    </w:pPr>
    <w:rPr>
      <w:rFonts w:ascii="Cambria" w:eastAsia="Calibri" w:hAnsi="Cambria" w:cs="Times New Roman"/>
      <w:lang w:val="es-CO"/>
    </w:rPr>
  </w:style>
  <w:style w:type="character" w:customStyle="1" w:styleId="BiblioEntryChar">
    <w:name w:val="Biblio Entry Char"/>
    <w:link w:val="BiblioEntry"/>
    <w:rsid w:val="00116D0A"/>
    <w:rPr>
      <w:rFonts w:ascii="Cambria" w:eastAsia="Calibri" w:hAnsi="Cambria" w:cs="Times New Roman"/>
      <w:lang w:val="es-CO"/>
    </w:rPr>
  </w:style>
  <w:style w:type="table" w:customStyle="1" w:styleId="Tablanormal21">
    <w:name w:val="Tabla normal 21"/>
    <w:basedOn w:val="Tablanormal"/>
    <w:uiPriority w:val="73"/>
    <w:rsid w:val="00116D0A"/>
    <w:pPr>
      <w:widowControl/>
      <w:autoSpaceDE/>
      <w:autoSpaceDN/>
    </w:pPr>
    <w:rPr>
      <w:rFonts w:ascii="Calibri" w:eastAsia="Calibri" w:hAnsi="Calibri" w:cs="Times New Roman"/>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uadrculavistosa-nfasis1">
    <w:name w:val="Colorful Grid Accent 1"/>
    <w:basedOn w:val="Tablanormal"/>
    <w:link w:val="ColorfulGrid-Accent1Char"/>
    <w:uiPriority w:val="29"/>
    <w:unhideWhenUsed/>
    <w:rsid w:val="00116D0A"/>
    <w:pPr>
      <w:widowControl/>
      <w:autoSpaceDE/>
      <w:autoSpaceDN/>
    </w:pPr>
    <w:rPr>
      <w:rFonts w:eastAsia="MS Mincho"/>
      <w:i/>
      <w:iCs/>
      <w:lang w:val="es-CO" w:eastAsia="es-CO"/>
    </w:rPr>
    <w:tblPr>
      <w:tblStyleRowBandSize w:val="1"/>
      <w:tblStyleColBandSize w:val="1"/>
      <w:tblBorders>
        <w:insideH w:val="single" w:sz="4" w:space="0" w:color="FFFFFF"/>
      </w:tblBorders>
    </w:tblPr>
    <w:tcPr>
      <w:shd w:val="clear" w:color="auto" w:fill="DEEAF6"/>
    </w:tcPr>
    <w:tblStylePr w:type="firstRow">
      <w:tblPr/>
      <w:tcPr>
        <w:shd w:val="clear" w:color="auto" w:fill="BDD6EE"/>
      </w:tcPr>
    </w:tblStylePr>
    <w:tblStylePr w:type="lastRow">
      <w:tblPr/>
      <w:tcPr>
        <w:shd w:val="clear" w:color="auto" w:fill="BDD6EE"/>
      </w:tcPr>
    </w:tblStylePr>
    <w:tblStylePr w:type="firstCol">
      <w:tblPr/>
      <w:tcPr>
        <w:shd w:val="clear" w:color="auto" w:fill="2E74B5"/>
      </w:tcPr>
    </w:tblStylePr>
    <w:tblStylePr w:type="lastCol">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Sombreadoclaro-nfasis2">
    <w:name w:val="Light Shading Accent 2"/>
    <w:basedOn w:val="Tablanormal"/>
    <w:link w:val="LightShading-Accent2Char"/>
    <w:uiPriority w:val="30"/>
    <w:unhideWhenUsed/>
    <w:rsid w:val="00116D0A"/>
    <w:pPr>
      <w:widowControl/>
      <w:autoSpaceDE/>
      <w:autoSpaceDN/>
    </w:pPr>
    <w:rPr>
      <w:rFonts w:ascii="Calibri Light" w:eastAsia="MS Gothic" w:hAnsi="Calibri Light"/>
      <w:color w:val="5B9BD5"/>
      <w:sz w:val="24"/>
      <w:szCs w:val="24"/>
      <w:lang w:val="es-CO" w:eastAsia="es-CO"/>
    </w:rPr>
    <w:tblPr>
      <w:tblStyleRowBandSize w:val="1"/>
      <w:tblStyleColBandSize w:val="1"/>
      <w:tblBorders>
        <w:top w:val="single" w:sz="8" w:space="0" w:color="ED7D31"/>
        <w:bottom w:val="single" w:sz="8" w:space="0" w:color="ED7D31"/>
      </w:tblBorders>
    </w:tblPr>
    <w:tblStylePr w:type="firstRow">
      <w:pPr>
        <w:spacing w:before="0" w:after="0" w:line="240" w:lineRule="auto"/>
      </w:p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tblPr/>
      <w:tcPr>
        <w:tcBorders>
          <w:top w:val="single" w:sz="8" w:space="0" w:color="ED7D31"/>
          <w:left w:val="nil"/>
          <w:bottom w:val="single" w:sz="8" w:space="0" w:color="ED7D31"/>
          <w:right w:val="nil"/>
          <w:insideH w:val="nil"/>
          <w:insideV w:val="nil"/>
        </w:tcBorders>
      </w:tc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ablaconcuadrcula2-nfasis11">
    <w:name w:val="Tabla con cuadrícula 2 - Énfasis 11"/>
    <w:basedOn w:val="Tablanormal"/>
    <w:uiPriority w:val="47"/>
    <w:rsid w:val="00116D0A"/>
    <w:pPr>
      <w:widowControl/>
      <w:autoSpaceDE/>
      <w:autoSpaceDN/>
    </w:pPr>
    <w:rPr>
      <w:rFonts w:ascii="Calibri" w:eastAsia="Calibri" w:hAnsi="Calibri" w:cs="Calibri"/>
      <w:lang w:val="es-E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3-nfasis51">
    <w:name w:val="Tabla con cuadrícula 3 - Énfasis 51"/>
    <w:basedOn w:val="Tablanormal"/>
    <w:uiPriority w:val="48"/>
    <w:rsid w:val="00116D0A"/>
    <w:pPr>
      <w:widowControl/>
      <w:autoSpaceDE/>
      <w:autoSpaceDN/>
    </w:pPr>
    <w:rPr>
      <w:rFonts w:ascii="Calibri" w:eastAsia="Calibri" w:hAnsi="Calibri" w:cs="Calibri"/>
      <w:lang w:val="es-E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p1">
    <w:name w:val="p1"/>
    <w:basedOn w:val="Normal"/>
    <w:rsid w:val="00116D0A"/>
    <w:pPr>
      <w:widowControl/>
      <w:autoSpaceDE/>
      <w:autoSpaceDN/>
      <w:spacing w:before="240" w:after="240" w:line="360" w:lineRule="auto"/>
    </w:pPr>
    <w:rPr>
      <w:rFonts w:ascii="Arial Narrow" w:eastAsia="Calibri" w:hAnsi="Arial Narrow" w:cs="Times New Roman"/>
      <w:sz w:val="18"/>
      <w:szCs w:val="18"/>
      <w:lang w:val="es-CO"/>
    </w:rPr>
  </w:style>
  <w:style w:type="paragraph" w:customStyle="1" w:styleId="p2">
    <w:name w:val="p2"/>
    <w:basedOn w:val="Normal"/>
    <w:rsid w:val="00116D0A"/>
    <w:pPr>
      <w:widowControl/>
      <w:autoSpaceDE/>
      <w:autoSpaceDN/>
      <w:spacing w:before="240" w:after="240" w:line="360" w:lineRule="auto"/>
    </w:pPr>
    <w:rPr>
      <w:rFonts w:ascii="Arial Narrow" w:eastAsia="Calibri" w:hAnsi="Arial Narrow" w:cs="Times New Roman"/>
      <w:sz w:val="17"/>
      <w:szCs w:val="17"/>
      <w:lang w:val="es-CO"/>
    </w:rPr>
  </w:style>
  <w:style w:type="character" w:customStyle="1" w:styleId="highlight">
    <w:name w:val="highlight"/>
    <w:rsid w:val="00116D0A"/>
  </w:style>
  <w:style w:type="table" w:customStyle="1" w:styleId="Tabladecuadrcula41">
    <w:name w:val="Tabla de cuadrícula 41"/>
    <w:basedOn w:val="Tablanormal"/>
    <w:uiPriority w:val="49"/>
    <w:rsid w:val="00116D0A"/>
    <w:pPr>
      <w:widowControl/>
      <w:autoSpaceDE/>
      <w:autoSpaceDN/>
    </w:pPr>
    <w:rPr>
      <w:rFonts w:ascii="Calibri" w:eastAsia="Calibri" w:hAnsi="Calibri" w:cs="Times New Roman"/>
      <w:lang w:val="es-CO"/>
    </w:rPr>
    <w:tblPr>
      <w:tblStyleRowBandSize w:val="1"/>
      <w:tblStyleColBandSize w:val="1"/>
      <w:tblBorders>
        <w:top w:val="single" w:sz="4" w:space="0" w:color="7B9ED7"/>
        <w:left w:val="single" w:sz="4" w:space="0" w:color="7B9ED7"/>
        <w:bottom w:val="single" w:sz="4" w:space="0" w:color="7B9ED7"/>
        <w:right w:val="single" w:sz="4" w:space="0" w:color="7B9ED7"/>
        <w:insideH w:val="single" w:sz="4" w:space="0" w:color="7B9ED7"/>
        <w:insideV w:val="single" w:sz="4" w:space="0" w:color="7B9ED7"/>
      </w:tblBorders>
    </w:tblPr>
    <w:tblStylePr w:type="firstRow">
      <w:rPr>
        <w:b/>
        <w:bCs/>
        <w:color w:val="F2F2F2"/>
      </w:rPr>
      <w:tblPr/>
      <w:tcPr>
        <w:tcBorders>
          <w:top w:val="single" w:sz="4" w:space="0" w:color="3462AC"/>
          <w:left w:val="single" w:sz="4" w:space="0" w:color="3462AC"/>
          <w:bottom w:val="single" w:sz="4" w:space="0" w:color="3462AC"/>
          <w:right w:val="single" w:sz="4" w:space="0" w:color="3462AC"/>
          <w:insideH w:val="nil"/>
          <w:insideV w:val="nil"/>
        </w:tcBorders>
        <w:shd w:val="clear" w:color="auto" w:fill="3462AC"/>
      </w:tcPr>
    </w:tblStylePr>
    <w:tblStylePr w:type="lastRow">
      <w:rPr>
        <w:b/>
        <w:bCs/>
      </w:rPr>
      <w:tblPr/>
      <w:tcPr>
        <w:tcBorders>
          <w:top w:val="double" w:sz="4" w:space="0" w:color="3462AC"/>
        </w:tcBorders>
      </w:tcPr>
    </w:tblStylePr>
    <w:tblStylePr w:type="firstCol">
      <w:rPr>
        <w:b/>
        <w:bCs/>
      </w:rPr>
    </w:tblStylePr>
    <w:tblStylePr w:type="lastCol">
      <w:rPr>
        <w:b/>
        <w:bCs/>
      </w:rPr>
    </w:tblStylePr>
    <w:tblStylePr w:type="band1Vert">
      <w:tblPr/>
      <w:tcPr>
        <w:shd w:val="clear" w:color="auto" w:fill="D2DEF1"/>
      </w:tcPr>
    </w:tblStylePr>
    <w:tblStylePr w:type="band1Horz">
      <w:tblPr/>
      <w:tcPr>
        <w:shd w:val="clear" w:color="auto" w:fill="D2DEF1"/>
      </w:tcPr>
    </w:tblStylePr>
  </w:style>
  <w:style w:type="table" w:styleId="Listavistosa-nfasis1">
    <w:name w:val="Colorful List Accent 1"/>
    <w:basedOn w:val="Tablanormal"/>
    <w:link w:val="Listavistosa-nfasis1Car"/>
    <w:uiPriority w:val="34"/>
    <w:semiHidden/>
    <w:unhideWhenUsed/>
    <w:rsid w:val="00116D0A"/>
    <w:pPr>
      <w:widowControl/>
      <w:autoSpaceDE/>
      <w:autoSpaceDN/>
    </w:pPr>
    <w:rPr>
      <w:rFonts w:eastAsia="Times New Roman"/>
      <w:lang w:val="es-CO" w:eastAsia="es-CO"/>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uadrculamedia2">
    <w:name w:val="Medium Grid 2"/>
    <w:basedOn w:val="Tablanormal"/>
    <w:link w:val="MediumGrid2Char"/>
    <w:uiPriority w:val="1"/>
    <w:semiHidden/>
    <w:unhideWhenUsed/>
    <w:rsid w:val="00116D0A"/>
    <w:pPr>
      <w:widowControl/>
      <w:autoSpaceDE/>
      <w:autoSpaceDN/>
    </w:pPr>
    <w:rPr>
      <w:rFonts w:eastAsia="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Tablaconcuadrcula4-nfasis3">
    <w:name w:val="Grid Table 4 Accent 3"/>
    <w:basedOn w:val="Tablanormal"/>
    <w:uiPriority w:val="49"/>
    <w:rsid w:val="00116D0A"/>
    <w:pPr>
      <w:widowControl/>
      <w:autoSpaceDE/>
      <w:autoSpaceDN/>
    </w:pPr>
    <w:rPr>
      <w:rFonts w:ascii="Times New Roman" w:eastAsia="Times New Roman" w:hAnsi="Times New Roman" w:cs="Times New Roman"/>
      <w:sz w:val="20"/>
      <w:szCs w:val="20"/>
      <w:lang w:val="es-CO" w:eastAsia="es-CO"/>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normal2">
    <w:name w:val="Plain Table 2"/>
    <w:basedOn w:val="Tablanormal"/>
    <w:uiPriority w:val="42"/>
    <w:rsid w:val="00116D0A"/>
    <w:pPr>
      <w:widowControl/>
      <w:autoSpaceDE/>
      <w:autoSpaceDN/>
    </w:pPr>
    <w:rPr>
      <w:rFonts w:ascii="Times New Roman" w:eastAsia="Times New Roman" w:hAnsi="Times New Roman" w:cs="Times New Roman"/>
      <w:sz w:val="20"/>
      <w:szCs w:val="20"/>
      <w:lang w:val="es-CO"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116D0A"/>
    <w:pPr>
      <w:widowControl/>
      <w:autoSpaceDE/>
      <w:autoSpaceDN/>
    </w:pPr>
    <w:rPr>
      <w:rFonts w:ascii="Times New Roman" w:eastAsia="Times New Roman" w:hAnsi="Times New Roman" w:cs="Times New Roman"/>
      <w:sz w:val="20"/>
      <w:szCs w:val="20"/>
      <w:lang w:val="es-CO" w:eastAsia="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ulo2">
    <w:name w:val="Titulo 2"/>
    <w:basedOn w:val="Ttulo2"/>
    <w:link w:val="Titulo2Car"/>
    <w:autoRedefine/>
    <w:qFormat/>
    <w:rsid w:val="00116D0A"/>
    <w:pPr>
      <w:keepLines/>
      <w:pBdr>
        <w:top w:val="nil"/>
        <w:left w:val="nil"/>
        <w:bottom w:val="nil"/>
        <w:right w:val="nil"/>
        <w:between w:val="nil"/>
      </w:pBdr>
      <w:spacing w:after="0"/>
      <w:ind w:left="0" w:firstLine="0"/>
      <w:textDirection w:val="btLr"/>
    </w:pPr>
    <w:rPr>
      <w:rFonts w:ascii="Tahoma" w:eastAsia="Tahoma" w:hAnsi="Tahoma" w:cs="Tahoma"/>
      <w:bCs w:val="0"/>
      <w:i w:val="0"/>
      <w:iCs w:val="0"/>
      <w:sz w:val="24"/>
      <w:szCs w:val="24"/>
    </w:rPr>
  </w:style>
  <w:style w:type="character" w:customStyle="1" w:styleId="Titulo2Car">
    <w:name w:val="Titulo 2 Car"/>
    <w:basedOn w:val="Ttulo2Car"/>
    <w:link w:val="Titulo2"/>
    <w:rsid w:val="00116D0A"/>
    <w:rPr>
      <w:rFonts w:ascii="Tahoma" w:eastAsia="Tahoma" w:hAnsi="Tahoma" w:cs="Tahoma"/>
      <w:b/>
      <w:bCs w:val="0"/>
      <w:i w:val="0"/>
      <w:iCs w:val="0"/>
      <w:sz w:val="24"/>
      <w:szCs w:val="24"/>
      <w:lang w:val="es-CO" w:eastAsia="es-ES"/>
    </w:rPr>
  </w:style>
  <w:style w:type="paragraph" w:styleId="DireccinHTML">
    <w:name w:val="HTML Address"/>
    <w:basedOn w:val="Normal"/>
    <w:link w:val="DireccinHTMLCar"/>
    <w:uiPriority w:val="99"/>
    <w:semiHidden/>
    <w:unhideWhenUsed/>
    <w:rsid w:val="00116D0A"/>
    <w:pPr>
      <w:widowControl/>
      <w:autoSpaceDE/>
      <w:autoSpaceDN/>
      <w:spacing w:before="240" w:after="240" w:line="360" w:lineRule="auto"/>
    </w:pPr>
    <w:rPr>
      <w:rFonts w:ascii="Times New Roman" w:eastAsia="Calibri" w:hAnsi="Times New Roman" w:cs="Times New Roman"/>
      <w:i/>
      <w:iCs/>
      <w:sz w:val="24"/>
      <w:szCs w:val="24"/>
      <w:lang w:val="es-CO" w:eastAsia="es-CO"/>
    </w:rPr>
  </w:style>
  <w:style w:type="character" w:customStyle="1" w:styleId="DireccinHTMLCar">
    <w:name w:val="Dirección HTML Car"/>
    <w:basedOn w:val="Fuentedeprrafopredeter"/>
    <w:link w:val="DireccinHTML"/>
    <w:uiPriority w:val="99"/>
    <w:semiHidden/>
    <w:rsid w:val="00116D0A"/>
    <w:rPr>
      <w:rFonts w:ascii="Times New Roman" w:eastAsia="Calibri" w:hAnsi="Times New Roman" w:cs="Times New Roman"/>
      <w:i/>
      <w:iCs/>
      <w:sz w:val="24"/>
      <w:szCs w:val="24"/>
      <w:lang w:val="es-CO" w:eastAsia="es-CO"/>
    </w:rPr>
  </w:style>
  <w:style w:type="paragraph" w:customStyle="1" w:styleId="Textopredeterminado">
    <w:name w:val="Texto predeterminado"/>
    <w:basedOn w:val="Normal"/>
    <w:rsid w:val="00116D0A"/>
    <w:pPr>
      <w:widowControl/>
      <w:suppressAutoHyphens/>
      <w:overflowPunct w:val="0"/>
      <w:autoSpaceDN/>
      <w:spacing w:before="240" w:after="60" w:line="360" w:lineRule="auto"/>
      <w:textAlignment w:val="baseline"/>
    </w:pPr>
    <w:rPr>
      <w:rFonts w:ascii="Arial" w:eastAsia="Times New Roman" w:hAnsi="Arial" w:cs="Times New Roman"/>
      <w:sz w:val="24"/>
      <w:szCs w:val="20"/>
      <w:lang w:val="es-CO" w:eastAsia="es-CO"/>
    </w:rPr>
  </w:style>
  <w:style w:type="table" w:customStyle="1" w:styleId="Cuadrculadetablaclara1">
    <w:name w:val="Cuadrícula de tabla clara1"/>
    <w:basedOn w:val="Tablanormal"/>
    <w:uiPriority w:val="40"/>
    <w:rsid w:val="00116D0A"/>
    <w:pPr>
      <w:widowControl/>
      <w:autoSpaceDE/>
      <w:autoSpaceDN/>
    </w:pPr>
    <w:rPr>
      <w:rFonts w:ascii="Calibri" w:eastAsia="Calibri" w:hAnsi="Calibri" w:cs="Calibri"/>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semiHidden/>
    <w:unhideWhenUsed/>
    <w:rsid w:val="00116D0A"/>
    <w:rPr>
      <w:color w:val="605E5C"/>
      <w:shd w:val="clear" w:color="auto" w:fill="E1DFDD"/>
    </w:rPr>
  </w:style>
  <w:style w:type="paragraph" w:customStyle="1" w:styleId="msonormal0">
    <w:name w:val="msonormal"/>
    <w:basedOn w:val="Normal"/>
    <w:rsid w:val="00116D0A"/>
    <w:pPr>
      <w:widowControl/>
      <w:autoSpaceDE/>
      <w:autoSpaceDN/>
      <w:spacing w:before="100" w:beforeAutospacing="1" w:after="100" w:afterAutospacing="1" w:line="360" w:lineRule="auto"/>
    </w:pPr>
    <w:rPr>
      <w:rFonts w:ascii="Times New Roman" w:eastAsia="Times New Roman" w:hAnsi="Times New Roman" w:cs="Times New Roman"/>
      <w:sz w:val="24"/>
      <w:szCs w:val="24"/>
      <w:lang w:val="es-CO" w:eastAsia="es-CO"/>
    </w:rPr>
  </w:style>
  <w:style w:type="paragraph" w:customStyle="1" w:styleId="paragraph">
    <w:name w:val="paragraph"/>
    <w:basedOn w:val="Normal"/>
    <w:rsid w:val="00116D0A"/>
    <w:pPr>
      <w:widowControl/>
      <w:autoSpaceDE/>
      <w:autoSpaceDN/>
      <w:spacing w:before="100" w:beforeAutospacing="1" w:after="100" w:afterAutospacing="1" w:line="36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116D0A"/>
  </w:style>
  <w:style w:type="character" w:customStyle="1" w:styleId="eop">
    <w:name w:val="eop"/>
    <w:basedOn w:val="Fuentedeprrafopredeter"/>
    <w:rsid w:val="00116D0A"/>
  </w:style>
  <w:style w:type="character" w:customStyle="1" w:styleId="superscript">
    <w:name w:val="superscript"/>
    <w:basedOn w:val="Fuentedeprrafopredeter"/>
    <w:rsid w:val="00116D0A"/>
  </w:style>
  <w:style w:type="paragraph" w:customStyle="1" w:styleId="xl63">
    <w:name w:val="xl63"/>
    <w:basedOn w:val="Normal"/>
    <w:rsid w:val="00116D0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360" w:lineRule="auto"/>
      <w:jc w:val="center"/>
      <w:textAlignment w:val="center"/>
    </w:pPr>
    <w:rPr>
      <w:rFonts w:ascii="Tahoma" w:eastAsia="Times New Roman" w:hAnsi="Tahoma" w:cs="Tahoma"/>
      <w:sz w:val="24"/>
      <w:szCs w:val="24"/>
      <w:lang w:val="es-CO" w:eastAsia="es-CO"/>
    </w:rPr>
  </w:style>
  <w:style w:type="paragraph" w:customStyle="1" w:styleId="xl64">
    <w:name w:val="xl64"/>
    <w:basedOn w:val="Normal"/>
    <w:rsid w:val="00116D0A"/>
    <w:pPr>
      <w:widowControl/>
      <w:autoSpaceDE/>
      <w:autoSpaceDN/>
      <w:spacing w:before="100" w:beforeAutospacing="1" w:after="100" w:afterAutospacing="1" w:line="360" w:lineRule="auto"/>
      <w:jc w:val="center"/>
      <w:textAlignment w:val="center"/>
    </w:pPr>
    <w:rPr>
      <w:rFonts w:ascii="Tahoma" w:eastAsia="Times New Roman" w:hAnsi="Tahoma" w:cs="Tahoma"/>
      <w:sz w:val="24"/>
      <w:szCs w:val="24"/>
      <w:lang w:val="es-CO" w:eastAsia="es-CO"/>
    </w:rPr>
  </w:style>
  <w:style w:type="paragraph" w:customStyle="1" w:styleId="xl65">
    <w:name w:val="xl65"/>
    <w:basedOn w:val="Normal"/>
    <w:rsid w:val="00116D0A"/>
    <w:pPr>
      <w:widowControl/>
      <w:autoSpaceDE/>
      <w:autoSpaceDN/>
      <w:spacing w:before="100" w:beforeAutospacing="1" w:after="100" w:afterAutospacing="1" w:line="360" w:lineRule="auto"/>
      <w:jc w:val="center"/>
    </w:pPr>
    <w:rPr>
      <w:rFonts w:ascii="Tahoma" w:eastAsia="Times New Roman" w:hAnsi="Tahoma" w:cs="Tahoma"/>
      <w:sz w:val="24"/>
      <w:szCs w:val="24"/>
      <w:lang w:val="es-CO" w:eastAsia="es-CO"/>
    </w:rPr>
  </w:style>
  <w:style w:type="paragraph" w:customStyle="1" w:styleId="xl66">
    <w:name w:val="xl66"/>
    <w:basedOn w:val="Normal"/>
    <w:rsid w:val="00116D0A"/>
    <w:pPr>
      <w:widowControl/>
      <w:pBdr>
        <w:top w:val="single" w:sz="4" w:space="0" w:color="auto"/>
        <w:left w:val="single" w:sz="4" w:space="0" w:color="auto"/>
        <w:bottom w:val="single" w:sz="4" w:space="0" w:color="auto"/>
      </w:pBdr>
      <w:autoSpaceDE/>
      <w:autoSpaceDN/>
      <w:spacing w:before="100" w:beforeAutospacing="1" w:after="100" w:afterAutospacing="1" w:line="360" w:lineRule="auto"/>
      <w:jc w:val="center"/>
      <w:textAlignment w:val="center"/>
    </w:pPr>
    <w:rPr>
      <w:rFonts w:ascii="Tahoma" w:eastAsia="Times New Roman" w:hAnsi="Tahoma" w:cs="Tahoma"/>
      <w:sz w:val="24"/>
      <w:szCs w:val="24"/>
      <w:lang w:val="es-CO" w:eastAsia="es-CO"/>
    </w:rPr>
  </w:style>
  <w:style w:type="paragraph" w:customStyle="1" w:styleId="xl67">
    <w:name w:val="xl67"/>
    <w:basedOn w:val="Normal"/>
    <w:rsid w:val="00116D0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360" w:lineRule="auto"/>
      <w:jc w:val="center"/>
    </w:pPr>
    <w:rPr>
      <w:rFonts w:ascii="Tahoma" w:eastAsia="Times New Roman" w:hAnsi="Tahoma" w:cs="Tahoma"/>
      <w:sz w:val="24"/>
      <w:szCs w:val="24"/>
      <w:lang w:val="es-CO" w:eastAsia="es-CO"/>
    </w:rPr>
  </w:style>
  <w:style w:type="paragraph" w:customStyle="1" w:styleId="xl68">
    <w:name w:val="xl68"/>
    <w:basedOn w:val="Normal"/>
    <w:rsid w:val="00116D0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360" w:lineRule="auto"/>
      <w:jc w:val="center"/>
      <w:textAlignment w:val="center"/>
    </w:pPr>
    <w:rPr>
      <w:rFonts w:ascii="Tahoma" w:eastAsia="Times New Roman" w:hAnsi="Tahoma" w:cs="Tahoma"/>
      <w:sz w:val="24"/>
      <w:szCs w:val="24"/>
      <w:lang w:val="es-CO" w:eastAsia="es-CO"/>
    </w:rPr>
  </w:style>
  <w:style w:type="paragraph" w:customStyle="1" w:styleId="xl69">
    <w:name w:val="xl69"/>
    <w:basedOn w:val="Normal"/>
    <w:rsid w:val="00116D0A"/>
    <w:pPr>
      <w:widowControl/>
      <w:pBdr>
        <w:top w:val="single" w:sz="4" w:space="0" w:color="auto"/>
        <w:left w:val="single" w:sz="4" w:space="0" w:color="auto"/>
        <w:bottom w:val="single" w:sz="4" w:space="0" w:color="auto"/>
        <w:right w:val="single" w:sz="4" w:space="0" w:color="auto"/>
      </w:pBdr>
      <w:shd w:val="clear" w:color="000000" w:fill="A6C9EC"/>
      <w:autoSpaceDE/>
      <w:autoSpaceDN/>
      <w:spacing w:before="100" w:beforeAutospacing="1" w:after="100" w:afterAutospacing="1" w:line="360" w:lineRule="auto"/>
      <w:jc w:val="center"/>
      <w:textAlignment w:val="center"/>
    </w:pPr>
    <w:rPr>
      <w:rFonts w:ascii="Tahoma" w:eastAsia="Times New Roman" w:hAnsi="Tahoma" w:cs="Tahoma"/>
      <w:sz w:val="24"/>
      <w:szCs w:val="24"/>
      <w:lang w:val="es-CO" w:eastAsia="es-CO"/>
    </w:rPr>
  </w:style>
  <w:style w:type="paragraph" w:customStyle="1" w:styleId="xl70">
    <w:name w:val="xl70"/>
    <w:basedOn w:val="Normal"/>
    <w:rsid w:val="00116D0A"/>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line="360" w:lineRule="auto"/>
      <w:jc w:val="center"/>
      <w:textAlignment w:val="center"/>
    </w:pPr>
    <w:rPr>
      <w:rFonts w:ascii="Tahoma" w:eastAsia="Times New Roman" w:hAnsi="Tahoma" w:cs="Tahoma"/>
      <w:b/>
      <w:bCs/>
      <w:sz w:val="24"/>
      <w:szCs w:val="24"/>
      <w:lang w:val="es-CO" w:eastAsia="es-CO"/>
    </w:rPr>
  </w:style>
  <w:style w:type="paragraph" w:customStyle="1" w:styleId="xl71">
    <w:name w:val="xl71"/>
    <w:basedOn w:val="Normal"/>
    <w:rsid w:val="00116D0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360" w:lineRule="auto"/>
      <w:jc w:val="center"/>
      <w:textAlignment w:val="center"/>
    </w:pPr>
    <w:rPr>
      <w:rFonts w:ascii="Tahoma" w:eastAsia="Times New Roman" w:hAnsi="Tahoma" w:cs="Tahoma"/>
      <w:b/>
      <w:bCs/>
      <w:sz w:val="24"/>
      <w:szCs w:val="24"/>
      <w:lang w:val="es-CO" w:eastAsia="es-CO"/>
    </w:rPr>
  </w:style>
  <w:style w:type="numbering" w:customStyle="1" w:styleId="Listaactual1">
    <w:name w:val="Lista actual1"/>
    <w:uiPriority w:val="99"/>
    <w:rsid w:val="00116D0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09888">
      <w:bodyDiv w:val="1"/>
      <w:marLeft w:val="0"/>
      <w:marRight w:val="0"/>
      <w:marTop w:val="0"/>
      <w:marBottom w:val="0"/>
      <w:divBdr>
        <w:top w:val="none" w:sz="0" w:space="0" w:color="auto"/>
        <w:left w:val="none" w:sz="0" w:space="0" w:color="auto"/>
        <w:bottom w:val="none" w:sz="0" w:space="0" w:color="auto"/>
        <w:right w:val="none" w:sz="0" w:space="0" w:color="auto"/>
      </w:divBdr>
    </w:div>
    <w:div w:id="798959802">
      <w:bodyDiv w:val="1"/>
      <w:marLeft w:val="0"/>
      <w:marRight w:val="0"/>
      <w:marTop w:val="0"/>
      <w:marBottom w:val="0"/>
      <w:divBdr>
        <w:top w:val="none" w:sz="0" w:space="0" w:color="auto"/>
        <w:left w:val="none" w:sz="0" w:space="0" w:color="auto"/>
        <w:bottom w:val="none" w:sz="0" w:space="0" w:color="auto"/>
        <w:right w:val="none" w:sz="0" w:space="0" w:color="auto"/>
      </w:divBdr>
    </w:div>
    <w:div w:id="1398552709">
      <w:bodyDiv w:val="1"/>
      <w:marLeft w:val="0"/>
      <w:marRight w:val="0"/>
      <w:marTop w:val="0"/>
      <w:marBottom w:val="0"/>
      <w:divBdr>
        <w:top w:val="none" w:sz="0" w:space="0" w:color="auto"/>
        <w:left w:val="none" w:sz="0" w:space="0" w:color="auto"/>
        <w:bottom w:val="none" w:sz="0" w:space="0" w:color="auto"/>
        <w:right w:val="none" w:sz="0" w:space="0" w:color="auto"/>
      </w:divBdr>
      <w:divsChild>
        <w:div w:id="725571335">
          <w:marLeft w:val="0"/>
          <w:marRight w:val="0"/>
          <w:marTop w:val="0"/>
          <w:marBottom w:val="0"/>
          <w:divBdr>
            <w:top w:val="none" w:sz="0" w:space="0" w:color="auto"/>
            <w:left w:val="none" w:sz="0" w:space="0" w:color="auto"/>
            <w:bottom w:val="none" w:sz="0" w:space="0" w:color="auto"/>
            <w:right w:val="none" w:sz="0" w:space="0" w:color="auto"/>
          </w:divBdr>
          <w:divsChild>
            <w:div w:id="503786036">
              <w:marLeft w:val="0"/>
              <w:marRight w:val="0"/>
              <w:marTop w:val="0"/>
              <w:marBottom w:val="0"/>
              <w:divBdr>
                <w:top w:val="none" w:sz="0" w:space="0" w:color="auto"/>
                <w:left w:val="none" w:sz="0" w:space="0" w:color="auto"/>
                <w:bottom w:val="none" w:sz="0" w:space="0" w:color="auto"/>
                <w:right w:val="none" w:sz="0" w:space="0" w:color="auto"/>
              </w:divBdr>
              <w:divsChild>
                <w:div w:id="1256402394">
                  <w:marLeft w:val="0"/>
                  <w:marRight w:val="0"/>
                  <w:marTop w:val="0"/>
                  <w:marBottom w:val="0"/>
                  <w:divBdr>
                    <w:top w:val="none" w:sz="0" w:space="0" w:color="auto"/>
                    <w:left w:val="none" w:sz="0" w:space="0" w:color="auto"/>
                    <w:bottom w:val="none" w:sz="0" w:space="0" w:color="auto"/>
                    <w:right w:val="none" w:sz="0" w:space="0" w:color="auto"/>
                  </w:divBdr>
                  <w:divsChild>
                    <w:div w:id="1809277954">
                      <w:marLeft w:val="0"/>
                      <w:marRight w:val="0"/>
                      <w:marTop w:val="0"/>
                      <w:marBottom w:val="0"/>
                      <w:divBdr>
                        <w:top w:val="none" w:sz="0" w:space="0" w:color="auto"/>
                        <w:left w:val="none" w:sz="0" w:space="0" w:color="auto"/>
                        <w:bottom w:val="none" w:sz="0" w:space="0" w:color="auto"/>
                        <w:right w:val="none" w:sz="0" w:space="0" w:color="auto"/>
                      </w:divBdr>
                      <w:divsChild>
                        <w:div w:id="972372362">
                          <w:marLeft w:val="0"/>
                          <w:marRight w:val="0"/>
                          <w:marTop w:val="0"/>
                          <w:marBottom w:val="0"/>
                          <w:divBdr>
                            <w:top w:val="none" w:sz="0" w:space="0" w:color="auto"/>
                            <w:left w:val="none" w:sz="0" w:space="0" w:color="auto"/>
                            <w:bottom w:val="none" w:sz="0" w:space="0" w:color="auto"/>
                            <w:right w:val="none" w:sz="0" w:space="0" w:color="auto"/>
                          </w:divBdr>
                          <w:divsChild>
                            <w:div w:id="1593392060">
                              <w:marLeft w:val="0"/>
                              <w:marRight w:val="0"/>
                              <w:marTop w:val="0"/>
                              <w:marBottom w:val="0"/>
                              <w:divBdr>
                                <w:top w:val="none" w:sz="0" w:space="0" w:color="auto"/>
                                <w:left w:val="none" w:sz="0" w:space="0" w:color="auto"/>
                                <w:bottom w:val="none" w:sz="0" w:space="0" w:color="auto"/>
                                <w:right w:val="none" w:sz="0" w:space="0" w:color="auto"/>
                              </w:divBdr>
                              <w:divsChild>
                                <w:div w:id="8198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361c06e3dab84d0b" Type="http://schemas.microsoft.com/office/2020/10/relationships/intelligence" Target="intelligence2.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file://localhost/C:/Users/lvelandia/Downloads/www.contraloriabogota.gov.co" TargetMode="External"/><Relationship Id="rId1" Type="http://schemas.openxmlformats.org/officeDocument/2006/relationships/hyperlink" Target="file://localhost/C:/Users/lvelandia/Downloads/www.contraloria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CF25-5BFE-4D7E-8F9C-80789D11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12</Pages>
  <Words>5589</Words>
  <Characters>30742</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EDITH ACOSTA MANRIQUE</dc:creator>
  <cp:lastModifiedBy>John Fredy Garzon Caicedo</cp:lastModifiedBy>
  <cp:revision>19</cp:revision>
  <dcterms:created xsi:type="dcterms:W3CDTF">2026-05-06T11:29:00Z</dcterms:created>
  <dcterms:modified xsi:type="dcterms:W3CDTF">2026-05-19T21:34:00Z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Word 2013</vt:lpwstr>
  </property>
  <property fmtid="{D5CDD505-2E9C-101B-9397-08002B2CF9AE}" pid="4" name="LastSaved">
    <vt:filetime>2025-09-16T00:00:00Z</vt:filetime>
  </property>
  <property fmtid="{D5CDD505-2E9C-101B-9397-08002B2CF9AE}" pid="5" name="Producer">
    <vt:lpwstr>Microsoft® Word 2013</vt:lpwstr>
  </property>
</Properties>
</file>